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0189B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PC-6960 Solvente Ritardante</w:t>
      </w:r>
    </w:p>
    <w:p w14:paraId="586CA662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(Ritardante di Essiccazione)</w:t>
      </w:r>
    </w:p>
    <w:p w14:paraId="5B37E0A8" w14:textId="77777777" w:rsidR="009539C7" w:rsidRDefault="00D410EC" w:rsidP="003A644C">
      <w:r>
        <w:rPr>
          <w:noProof/>
        </w:rPr>
        <w:drawing>
          <wp:inline distT="0" distB="0" distL="114300" distR="114300" wp14:anchorId="74470DDD" wp14:editId="64EBBD1C">
            <wp:extent cx="1003935" cy="1686560"/>
            <wp:effectExtent l="0" t="0" r="5715" b="8890"/>
            <wp:docPr id="49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图片 130"/>
                    <pic:cNvPicPr>
                      <a:picLocks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6BD2" w14:textId="77777777" w:rsidR="009539C7" w:rsidRDefault="009539C7" w:rsidP="003A644C"/>
    <w:p w14:paraId="1CDF0227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Descrizione</w:t>
      </w:r>
    </w:p>
    <w:p w14:paraId="326241C0" w14:textId="77777777" w:rsidR="009539C7" w:rsidRDefault="00D410EC" w:rsidP="003A644C">
      <w:pPr>
        <w:rPr>
          <w:lang w:val="it-IT"/>
        </w:rPr>
      </w:pPr>
      <w:r>
        <w:rPr>
          <w:lang w:val="it-IT"/>
        </w:rPr>
        <w:t>Un additivo per rallentare l’evaporazione del diluente. Aiuta a evitare la perdita di lucentezza e lo sbiancamento dei rivestimenti e a garantire un’applicazione di alta qualità in condizioni estreme di alta temperatura e/o elevata umidità.</w:t>
      </w:r>
    </w:p>
    <w:p w14:paraId="7E812356" w14:textId="77777777" w:rsidR="009539C7" w:rsidRDefault="009539C7" w:rsidP="003A644C">
      <w:pPr>
        <w:rPr>
          <w:lang w:val="it-IT"/>
        </w:rPr>
      </w:pPr>
    </w:p>
    <w:p w14:paraId="3B358A1C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Rapporto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dei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componenti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4"/>
        <w:gridCol w:w="1261"/>
        <w:gridCol w:w="1481"/>
        <w:gridCol w:w="4262"/>
      </w:tblGrid>
      <w:tr w:rsidR="009539C7" w14:paraId="5672662E" w14:textId="77777777">
        <w:trPr>
          <w:trHeight w:val="617"/>
        </w:trPr>
        <w:tc>
          <w:tcPr>
            <w:tcW w:w="2677" w:type="dxa"/>
            <w:vMerge w:val="restart"/>
            <w:tcBorders>
              <w:left w:val="nil"/>
              <w:bottom w:val="nil"/>
              <w:right w:val="nil"/>
            </w:tcBorders>
          </w:tcPr>
          <w:p w14:paraId="1000355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2C2D5AE" wp14:editId="478C4D60">
                  <wp:extent cx="724535" cy="717550"/>
                  <wp:effectExtent l="0" t="0" r="18415" b="6350"/>
                  <wp:docPr id="49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</w:tcPr>
          <w:p w14:paraId="730BAE16" w14:textId="77777777" w:rsidR="009539C7" w:rsidRDefault="00D410EC" w:rsidP="003A644C">
            <w:r>
              <w:t>in peso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14:paraId="22226D84" w14:textId="77777777" w:rsidR="009539C7" w:rsidRDefault="009539C7" w:rsidP="003A644C"/>
        </w:tc>
        <w:tc>
          <w:tcPr>
            <w:tcW w:w="4379" w:type="dxa"/>
            <w:tcBorders>
              <w:left w:val="nil"/>
              <w:bottom w:val="nil"/>
              <w:right w:val="nil"/>
            </w:tcBorders>
          </w:tcPr>
          <w:p w14:paraId="1DD02D9B" w14:textId="77777777" w:rsidR="009539C7" w:rsidRDefault="009539C7" w:rsidP="003A644C"/>
        </w:tc>
      </w:tr>
      <w:tr w:rsidR="009539C7" w14:paraId="76209B08" w14:textId="77777777">
        <w:tc>
          <w:tcPr>
            <w:tcW w:w="26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6C880" w14:textId="77777777" w:rsidR="009539C7" w:rsidRDefault="009539C7" w:rsidP="003A644C"/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4E06D5E1" w14:textId="77777777" w:rsidR="009539C7" w:rsidRDefault="00D410EC" w:rsidP="003A644C">
            <w:r>
              <w:t>10-30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747EA7B" w14:textId="77777777" w:rsidR="009539C7" w:rsidRDefault="00D410EC" w:rsidP="003A644C">
            <w:r>
              <w:t>РС-2/3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14:paraId="1CFB7768" w14:textId="77777777" w:rsidR="009539C7" w:rsidRDefault="00D410EC" w:rsidP="003A644C">
            <w:r>
              <w:tab/>
              <w:t>10-30%</w:t>
            </w:r>
          </w:p>
        </w:tc>
      </w:tr>
    </w:tbl>
    <w:p w14:paraId="5BE88255" w14:textId="77777777" w:rsidR="009539C7" w:rsidRDefault="009539C7" w:rsidP="003A644C"/>
    <w:p w14:paraId="01DCDD9C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Applicazione</w:t>
      </w:r>
      <w:proofErr w:type="spellEnd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15"/>
        <w:gridCol w:w="3411"/>
        <w:gridCol w:w="1764"/>
        <w:gridCol w:w="3164"/>
      </w:tblGrid>
      <w:tr w:rsidR="009539C7" w14:paraId="7A063307" w14:textId="77777777">
        <w:tc>
          <w:tcPr>
            <w:tcW w:w="1515" w:type="dxa"/>
          </w:tcPr>
          <w:p w14:paraId="112E5E46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6C813B8E" wp14:editId="34D6B511">
                  <wp:extent cx="838200" cy="815340"/>
                  <wp:effectExtent l="0" t="0" r="0" b="3810"/>
                  <wp:docPr id="49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342"/>
                          <a:srcRect r="66433" b="-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</w:tcPr>
          <w:p w14:paraId="3AE36A8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Vedere la TDS del materiale applicato.</w:t>
            </w:r>
          </w:p>
          <w:p w14:paraId="417B0913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Smalti acrilici 2K / basi opache 1K / trasparenti</w:t>
            </w:r>
          </w:p>
        </w:tc>
        <w:tc>
          <w:tcPr>
            <w:tcW w:w="1764" w:type="dxa"/>
          </w:tcPr>
          <w:p w14:paraId="2817E8AF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2BED1808" wp14:editId="41BFAFFE">
                  <wp:extent cx="942975" cy="880110"/>
                  <wp:effectExtent l="0" t="0" r="9525" b="15240"/>
                  <wp:docPr id="49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图片 133"/>
                          <pic:cNvPicPr>
                            <a:picLocks noChangeAspect="1"/>
                          </pic:cNvPicPr>
                        </pic:nvPicPr>
                        <pic:blipFill>
                          <a:blip r:embed="rId343"/>
                          <a:srcRect r="58186" b="7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14:paraId="38463FB1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</w:tr>
    </w:tbl>
    <w:p w14:paraId="5AE0898E" w14:textId="77777777" w:rsidR="009539C7" w:rsidRDefault="009539C7" w:rsidP="003A644C">
      <w:pPr>
        <w:rPr>
          <w:b/>
          <w:bCs/>
          <w:color w:val="0000FF"/>
          <w:lang w:eastAsia="en-US"/>
        </w:rPr>
      </w:pPr>
    </w:p>
    <w:p w14:paraId="7309E9B8" w14:textId="77777777" w:rsidR="009539C7" w:rsidRDefault="00D410EC" w:rsidP="003A644C">
      <w:pPr>
        <w:rPr>
          <w:b/>
          <w:bCs/>
          <w:color w:val="0000FF"/>
          <w:lang w:eastAsia="en-US"/>
        </w:rPr>
      </w:pPr>
      <w:r>
        <w:rPr>
          <w:b/>
          <w:bCs/>
          <w:color w:val="0000FF"/>
          <w:lang w:eastAsia="en-US"/>
        </w:rPr>
        <w:t>COV (</w:t>
      </w:r>
      <w:proofErr w:type="spellStart"/>
      <w:r>
        <w:rPr>
          <w:b/>
          <w:bCs/>
          <w:color w:val="0000FF"/>
          <w:lang w:eastAsia="en-US"/>
        </w:rPr>
        <w:t>Composti</w:t>
      </w:r>
      <w:proofErr w:type="spellEnd"/>
      <w:r>
        <w:rPr>
          <w:b/>
          <w:bCs/>
          <w:color w:val="0000FF"/>
          <w:lang w:eastAsia="en-US"/>
        </w:rPr>
        <w:t xml:space="preserve"> </w:t>
      </w:r>
      <w:proofErr w:type="spellStart"/>
      <w:r>
        <w:rPr>
          <w:b/>
          <w:bCs/>
          <w:color w:val="0000FF"/>
          <w:lang w:eastAsia="en-US"/>
        </w:rPr>
        <w:t>Organici</w:t>
      </w:r>
      <w:proofErr w:type="spellEnd"/>
      <w:r>
        <w:rPr>
          <w:b/>
          <w:bCs/>
          <w:color w:val="0000FF"/>
          <w:lang w:eastAsia="en-US"/>
        </w:rPr>
        <w:t xml:space="preserve"> </w:t>
      </w:r>
      <w:proofErr w:type="spellStart"/>
      <w:r>
        <w:rPr>
          <w:b/>
          <w:bCs/>
          <w:color w:val="0000FF"/>
          <w:lang w:eastAsia="en-US"/>
        </w:rPr>
        <w:t>Volatili</w:t>
      </w:r>
      <w:proofErr w:type="spellEnd"/>
      <w:r>
        <w:rPr>
          <w:b/>
          <w:bCs/>
          <w:color w:val="0000FF"/>
          <w:lang w:eastAsia="en-US"/>
        </w:rPr>
        <w:t>)</w:t>
      </w:r>
    </w:p>
    <w:p w14:paraId="5E582F94" w14:textId="77777777" w:rsidR="009539C7" w:rsidRDefault="00D410EC" w:rsidP="003A644C">
      <w:pPr>
        <w:rPr>
          <w:lang w:val="it-IT" w:eastAsia="en-US" w:bidi="en-US"/>
        </w:rPr>
      </w:pPr>
      <w:r>
        <w:rPr>
          <w:lang w:val="it-IT" w:eastAsia="en-US" w:bidi="en-US"/>
        </w:rPr>
        <w:t xml:space="preserve">In conformità con la normativa europea sui COV, il contenuto massimo di composti organici volatili per questa classe di prodotti (categoria di prodotto: </w:t>
      </w:r>
      <w:proofErr w:type="spellStart"/>
      <w:r>
        <w:rPr>
          <w:lang w:val="it-IT" w:eastAsia="en-US" w:bidi="en-US"/>
        </w:rPr>
        <w:t>IIB.d</w:t>
      </w:r>
      <w:proofErr w:type="spellEnd"/>
      <w:r>
        <w:rPr>
          <w:lang w:val="it-IT" w:eastAsia="en-US" w:bidi="en-US"/>
        </w:rPr>
        <w:t>) nella miscela pronta all'uso è 805 g/L.</w:t>
      </w:r>
    </w:p>
    <w:p w14:paraId="782624CB" w14:textId="77777777" w:rsidR="009539C7" w:rsidRDefault="00D410EC" w:rsidP="003A644C">
      <w:pPr>
        <w:rPr>
          <w:lang w:val="it-IT" w:eastAsia="en-US" w:bidi="en-US"/>
        </w:rPr>
      </w:pPr>
      <w:r>
        <w:rPr>
          <w:lang w:val="it-IT" w:eastAsia="en-US" w:bidi="en-US"/>
        </w:rPr>
        <w:t>Il parametro COV di questo prodotto nella miscela pronta all'uso non supera gli 840 g/L.</w:t>
      </w:r>
    </w:p>
    <w:p w14:paraId="6A5E6C64" w14:textId="77777777" w:rsidR="009539C7" w:rsidRDefault="009539C7" w:rsidP="003A644C">
      <w:pPr>
        <w:rPr>
          <w:lang w:val="it-IT" w:eastAsia="en-US" w:bidi="en-US"/>
        </w:rPr>
      </w:pPr>
    </w:p>
    <w:p w14:paraId="437120DA" w14:textId="77777777" w:rsidR="009539C7" w:rsidRDefault="00D410EC" w:rsidP="003A644C">
      <w:pPr>
        <w:rPr>
          <w:b/>
          <w:bCs/>
          <w:color w:val="0000FF"/>
          <w:lang w:val="it-IT" w:eastAsia="en-US"/>
        </w:rPr>
      </w:pPr>
      <w:r>
        <w:rPr>
          <w:b/>
          <w:bCs/>
          <w:color w:val="0000FF"/>
          <w:lang w:val="it-IT" w:eastAsia="en-US"/>
        </w:rPr>
        <w:t>Stoccaggio</w:t>
      </w:r>
    </w:p>
    <w:p w14:paraId="660633F1" w14:textId="77777777" w:rsidR="009539C7" w:rsidRDefault="00D410EC" w:rsidP="003A644C">
      <w:pPr>
        <w:rPr>
          <w:lang w:val="it-IT" w:eastAsia="en-US" w:bidi="en-US"/>
        </w:rPr>
      </w:pPr>
      <w:r>
        <w:rPr>
          <w:lang w:val="it-IT" w:eastAsia="en-US" w:bidi="en-US"/>
        </w:rPr>
        <w:t>La durata di conservazione del prodotto è definita per imballo non aperto a 20°C ed è di 2 anni.</w:t>
      </w:r>
    </w:p>
    <w:p w14:paraId="1703A235" w14:textId="77777777" w:rsidR="009539C7" w:rsidRDefault="00D410EC" w:rsidP="003A644C">
      <w:pPr>
        <w:rPr>
          <w:lang w:val="it-IT" w:eastAsia="en-US" w:bidi="en-US"/>
        </w:rPr>
      </w:pPr>
      <w:r>
        <w:rPr>
          <w:lang w:val="it-IT" w:eastAsia="en-US" w:bidi="en-US"/>
        </w:rPr>
        <w:t>Evitare ampie fluttuazioni di temperatura. La data di produzione è indicata sulla confezione.</w:t>
      </w:r>
    </w:p>
    <w:p w14:paraId="01729630" w14:textId="77777777" w:rsidR="009539C7" w:rsidRDefault="009539C7" w:rsidP="003A644C">
      <w:pPr>
        <w:rPr>
          <w:lang w:val="it-IT" w:eastAsia="en-US" w:bidi="en-US"/>
        </w:rPr>
      </w:pPr>
    </w:p>
    <w:p w14:paraId="23F85521" w14:textId="77777777" w:rsidR="009539C7" w:rsidRDefault="00D410EC" w:rsidP="003A644C">
      <w:pPr>
        <w:rPr>
          <w:b/>
          <w:bCs/>
          <w:lang w:val="it-IT" w:eastAsia="en-US" w:bidi="en-US"/>
        </w:rPr>
      </w:pPr>
      <w:r>
        <w:rPr>
          <w:b/>
          <w:bCs/>
          <w:lang w:val="it-IT" w:eastAsia="en-US" w:bidi="en-US"/>
        </w:rPr>
        <w:t>Nota: utilizzare quando la temperatura dell’aria supera i 30°C</w:t>
      </w:r>
    </w:p>
    <w:p w14:paraId="08E6947B" w14:textId="77777777" w:rsidR="009539C7" w:rsidRDefault="009539C7" w:rsidP="003A644C">
      <w:pPr>
        <w:rPr>
          <w:lang w:val="it-IT" w:eastAsia="en-US" w:bidi="en-US"/>
        </w:rPr>
      </w:pPr>
    </w:p>
    <w:p w14:paraId="10DAE839" w14:textId="77777777" w:rsidR="009539C7" w:rsidRDefault="009539C7" w:rsidP="003A644C">
      <w:pPr>
        <w:rPr>
          <w:lang w:val="it-IT" w:eastAsia="en-US" w:bidi="en-US"/>
        </w:rPr>
      </w:pPr>
    </w:p>
    <w:p w14:paraId="390B9103" w14:textId="77777777" w:rsidR="009539C7" w:rsidRDefault="00D410EC" w:rsidP="003A644C">
      <w:pPr>
        <w:rPr>
          <w:lang w:val="it-IT" w:eastAsia="en-US" w:bidi="en-US"/>
        </w:rPr>
      </w:pPr>
      <w:r>
        <w:rPr>
          <w:lang w:val="it-IT" w:eastAsia="en-US" w:bidi="en-US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340" Type="http://schemas.openxmlformats.org/officeDocument/2006/relationships/image" Target="media/image332.png"/><Relationship Id="rId341" Type="http://schemas.openxmlformats.org/officeDocument/2006/relationships/image" Target="media/image333.png"/><Relationship Id="rId1" Type="http://schemas.openxmlformats.org/officeDocument/2006/relationships/customXml" Target="../customXml/item1.xml"/><Relationship Id="rId342" Type="http://schemas.openxmlformats.org/officeDocument/2006/relationships/image" Target="media/image334.png"/><Relationship Id="rId2" Type="http://schemas.openxmlformats.org/officeDocument/2006/relationships/customXml" Target="../customXml/item2.xml"/><Relationship Id="rId343" Type="http://schemas.openxmlformats.org/officeDocument/2006/relationships/image" Target="media/image335.png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