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5BCA" w14:textId="77777777" w:rsidR="009539C7" w:rsidRDefault="00D410EC" w:rsidP="00DB6FEE">
      <w:pPr>
        <w:pStyle w:val="Titolo"/>
        <w:rPr>
          <w:lang w:val="it-IT"/>
        </w:rPr>
      </w:pPr>
      <w:r>
        <w:rPr>
          <w:lang w:val="it-IT"/>
        </w:rPr>
        <w:lastRenderedPageBreak/>
        <w:t>PC-GY1350 Primer Epossidico Rapido</w:t>
      </w:r>
    </w:p>
    <w:p w14:paraId="58971BF0" w14:textId="2042FC82" w:rsidR="009539C7" w:rsidRDefault="00D410EC" w:rsidP="003A644C">
      <w:pPr>
        <w:rPr>
          <w:b/>
          <w:bCs/>
          <w:color w:val="0000FF"/>
          <w:sz w:val="28"/>
          <w:szCs w:val="36"/>
          <w:lang w:val="it-IT"/>
        </w:rPr>
      </w:pPr>
      <w:r>
        <w:rPr>
          <w:b/>
          <w:bCs/>
          <w:color w:val="0000FF"/>
          <w:sz w:val="28"/>
          <w:szCs w:val="36"/>
          <w:lang w:val="it-IT"/>
        </w:rPr>
        <w:t>Grigio</w:t>
      </w:r>
      <w:r w:rsidR="0088313B">
        <w:rPr>
          <w:b/>
          <w:bCs/>
          <w:color w:val="0000FF"/>
          <w:sz w:val="28"/>
          <w:szCs w:val="36"/>
          <w:lang w:val="it-IT"/>
        </w:rPr>
        <w:t xml:space="preserve"> </w:t>
      </w:r>
      <w:r>
        <w:rPr>
          <w:b/>
          <w:bCs/>
          <w:color w:val="0000FF"/>
          <w:sz w:val="28"/>
          <w:szCs w:val="36"/>
          <w:lang w:val="it-IT"/>
        </w:rPr>
        <w:t>(Primer Epossidico)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95"/>
        <w:gridCol w:w="7743"/>
      </w:tblGrid>
      <w:tr w:rsidR="009539C7" w:rsidRPr="008602A6" w14:paraId="4D7C393D" w14:textId="77777777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817B1EF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50A401D" wp14:editId="454A6410">
                  <wp:extent cx="866775" cy="1041400"/>
                  <wp:effectExtent l="0" t="0" r="9525" b="6350"/>
                  <wp:docPr id="170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9" w:type="dxa"/>
            <w:tcBorders>
              <w:top w:val="nil"/>
              <w:left w:val="nil"/>
              <w:bottom w:val="nil"/>
              <w:right w:val="nil"/>
            </w:tcBorders>
          </w:tcPr>
          <w:p w14:paraId="0011FF4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PC-GY 1350 offre eccellente protezione dalla corrosione, essicca rapidamente e presenta buona adesione su acciaio, acciaio zincato e alluminio.</w:t>
            </w:r>
          </w:p>
        </w:tc>
      </w:tr>
    </w:tbl>
    <w:p w14:paraId="31ACB433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2929"/>
        <w:gridCol w:w="1823"/>
        <w:gridCol w:w="2996"/>
      </w:tblGrid>
      <w:tr w:rsidR="009539C7" w14:paraId="5A253991" w14:textId="77777777">
        <w:trPr>
          <w:trHeight w:val="1810"/>
        </w:trPr>
        <w:tc>
          <w:tcPr>
            <w:tcW w:w="1890" w:type="dxa"/>
            <w:tcBorders>
              <w:tl2br w:val="nil"/>
              <w:tr2bl w:val="nil"/>
            </w:tcBorders>
          </w:tcPr>
          <w:p w14:paraId="4989E43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1ED973F" wp14:editId="22D03922">
                  <wp:extent cx="902970" cy="962660"/>
                  <wp:effectExtent l="0" t="0" r="11430" b="8890"/>
                  <wp:docPr id="109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27"/>
                          <a:srcRect r="78792" b="-2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" cy="96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8" w:type="dxa"/>
            <w:gridSpan w:val="3"/>
            <w:tcBorders>
              <w:tl2br w:val="nil"/>
              <w:tr2bl w:val="nil"/>
            </w:tcBorders>
          </w:tcPr>
          <w:p w14:paraId="4A05DE96" w14:textId="77777777" w:rsidR="009539C7" w:rsidRDefault="00D410EC" w:rsidP="003A644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Rapporti di miscelazione – versione carteggiabile: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93"/>
              <w:gridCol w:w="1794"/>
              <w:gridCol w:w="1794"/>
              <w:gridCol w:w="1794"/>
            </w:tblGrid>
            <w:tr w:rsidR="009539C7" w14:paraId="0814750D" w14:textId="77777777">
              <w:tc>
                <w:tcPr>
                  <w:tcW w:w="1793" w:type="dxa"/>
                </w:tcPr>
                <w:p w14:paraId="5E3905F2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in volume</w:t>
                  </w:r>
                </w:p>
                <w:p w14:paraId="4CA5EC81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3,5</w:t>
                  </w:r>
                </w:p>
                <w:p w14:paraId="146EF7AB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1</w:t>
                  </w:r>
                </w:p>
                <w:p w14:paraId="002016B1" w14:textId="77777777" w:rsidR="009539C7" w:rsidRDefault="00D410EC" w:rsidP="003A644C">
                  <w:pPr>
                    <w:rPr>
                      <w:b/>
                      <w:bCs/>
                      <w:lang w:val="it-IT"/>
                    </w:rPr>
                  </w:pPr>
                  <w:r>
                    <w:rPr>
                      <w:lang w:val="it-IT"/>
                    </w:rPr>
                    <w:t>1</w:t>
                  </w:r>
                </w:p>
              </w:tc>
              <w:tc>
                <w:tcPr>
                  <w:tcW w:w="1794" w:type="dxa"/>
                </w:tcPr>
                <w:p w14:paraId="6A134749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in peso</w:t>
                  </w:r>
                </w:p>
                <w:p w14:paraId="00A2A433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100</w:t>
                  </w:r>
                </w:p>
                <w:p w14:paraId="7A81F0DF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20</w:t>
                  </w:r>
                </w:p>
                <w:p w14:paraId="66028BA1" w14:textId="77777777" w:rsidR="009539C7" w:rsidRDefault="00D410EC" w:rsidP="003A644C">
                  <w:pPr>
                    <w:rPr>
                      <w:b/>
                      <w:bCs/>
                      <w:lang w:val="it-IT"/>
                    </w:rPr>
                  </w:pPr>
                  <w:r>
                    <w:rPr>
                      <w:lang w:val="it-IT"/>
                    </w:rPr>
                    <w:t>20</w:t>
                  </w:r>
                </w:p>
              </w:tc>
              <w:tc>
                <w:tcPr>
                  <w:tcW w:w="1794" w:type="dxa"/>
                </w:tcPr>
                <w:p w14:paraId="0AB3852B" w14:textId="77777777" w:rsidR="009539C7" w:rsidRDefault="009539C7" w:rsidP="003A644C">
                  <w:pPr>
                    <w:rPr>
                      <w:lang w:val="it-IT"/>
                    </w:rPr>
                  </w:pPr>
                </w:p>
                <w:p w14:paraId="240888C2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Primer Epossidico</w:t>
                  </w:r>
                </w:p>
                <w:p w14:paraId="76732E8C" w14:textId="77777777" w:rsidR="009539C7" w:rsidRDefault="00D410EC" w:rsidP="003A644C">
                  <w:pPr>
                    <w:rPr>
                      <w:lang w:val="it-IT"/>
                    </w:rPr>
                  </w:pPr>
                  <w:proofErr w:type="spellStart"/>
                  <w:r>
                    <w:rPr>
                      <w:lang w:val="it-IT"/>
                    </w:rPr>
                    <w:t>Induritore</w:t>
                  </w:r>
                  <w:proofErr w:type="spellEnd"/>
                </w:p>
                <w:p w14:paraId="3BCDBA47" w14:textId="77777777" w:rsidR="009539C7" w:rsidRDefault="00D410EC" w:rsidP="003A644C">
                  <w:pPr>
                    <w:rPr>
                      <w:b/>
                      <w:bCs/>
                      <w:lang w:val="it-IT"/>
                    </w:rPr>
                  </w:pPr>
                  <w:r>
                    <w:rPr>
                      <w:lang w:val="it-IT"/>
                    </w:rPr>
                    <w:t>Diluenti</w:t>
                  </w:r>
                </w:p>
              </w:tc>
              <w:tc>
                <w:tcPr>
                  <w:tcW w:w="1794" w:type="dxa"/>
                </w:tcPr>
                <w:p w14:paraId="5E7014BA" w14:textId="77777777" w:rsidR="009539C7" w:rsidRPr="00BA4A4E" w:rsidRDefault="009539C7" w:rsidP="003A644C"/>
                <w:p w14:paraId="0CD802BC" w14:textId="77777777" w:rsidR="009539C7" w:rsidRDefault="00D410EC" w:rsidP="003A644C">
                  <w:r>
                    <w:t>PC-GY 1350</w:t>
                  </w:r>
                </w:p>
                <w:p w14:paraId="55ED8DA2" w14:textId="77777777" w:rsidR="009539C7" w:rsidRDefault="00D410EC" w:rsidP="003A644C">
                  <w:r>
                    <w:t>PC-GY1650</w:t>
                  </w:r>
                </w:p>
                <w:p w14:paraId="155F678E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PC-GY1750</w:t>
                  </w:r>
                </w:p>
              </w:tc>
            </w:tr>
          </w:tbl>
          <w:p w14:paraId="13DB2B9F" w14:textId="77777777" w:rsidR="009539C7" w:rsidRDefault="009539C7" w:rsidP="003A644C">
            <w:pPr>
              <w:rPr>
                <w:b/>
                <w:bCs/>
              </w:rPr>
            </w:pPr>
          </w:p>
        </w:tc>
      </w:tr>
      <w:tr w:rsidR="009539C7" w14:paraId="6A239470" w14:textId="77777777">
        <w:tc>
          <w:tcPr>
            <w:tcW w:w="1890" w:type="dxa"/>
            <w:tcBorders>
              <w:tl2br w:val="nil"/>
              <w:tr2bl w:val="nil"/>
            </w:tcBorders>
          </w:tcPr>
          <w:p w14:paraId="611E6277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292CA0C0" wp14:editId="301F9F99">
                  <wp:extent cx="931545" cy="927735"/>
                  <wp:effectExtent l="0" t="0" r="1905" b="5715"/>
                  <wp:docPr id="111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28"/>
                          <a:srcRect r="64307" b="8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545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9" w:type="dxa"/>
            <w:tcBorders>
              <w:tl2br w:val="nil"/>
              <w:tr2bl w:val="nil"/>
            </w:tcBorders>
          </w:tcPr>
          <w:p w14:paraId="65B4538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Pistola a spruzzo: 1,4–1,6 mm</w:t>
            </w:r>
          </w:p>
          <w:p w14:paraId="51F6771B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Pressione di applicazione:</w:t>
            </w:r>
          </w:p>
          <w:p w14:paraId="77441EB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1,7–2,2 bar all’ingresso</w:t>
            </w:r>
          </w:p>
          <w:p w14:paraId="0B5A9558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HVLP max 0,6–0,7 bar alla calotta d’aria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2D1FFC0E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83A6CC0" wp14:editId="046AD620">
                  <wp:extent cx="993775" cy="874395"/>
                  <wp:effectExtent l="0" t="0" r="15875" b="1905"/>
                  <wp:docPr id="113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29"/>
                          <a:srcRect r="63392" b="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75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6" w:type="dxa"/>
            <w:tcBorders>
              <w:tl2br w:val="nil"/>
              <w:tr2bl w:val="nil"/>
            </w:tcBorders>
          </w:tcPr>
          <w:p w14:paraId="3F15699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1–2 mani singole / 30–35 </w:t>
            </w:r>
            <w:r>
              <w:t>μ</w:t>
            </w:r>
            <w:r>
              <w:rPr>
                <w:lang w:val="it-IT"/>
              </w:rPr>
              <w:t>m</w:t>
            </w:r>
          </w:p>
          <w:p w14:paraId="337FE0A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Viscosità di lavoro 16 secondi</w:t>
            </w:r>
          </w:p>
          <w:p w14:paraId="4BD94B1E" w14:textId="77777777" w:rsidR="009539C7" w:rsidRDefault="00D410EC" w:rsidP="003A644C">
            <w:pPr>
              <w:rPr>
                <w:lang w:val="ru-RU"/>
              </w:rPr>
            </w:pPr>
            <w:r>
              <w:t>(Coppa DIN 4 a 20°C)</w:t>
            </w:r>
          </w:p>
        </w:tc>
      </w:tr>
      <w:tr w:rsidR="009539C7" w14:paraId="6FB94F15" w14:textId="77777777">
        <w:tc>
          <w:tcPr>
            <w:tcW w:w="1890" w:type="dxa"/>
            <w:tcBorders>
              <w:tl2br w:val="nil"/>
              <w:tr2bl w:val="nil"/>
            </w:tcBorders>
          </w:tcPr>
          <w:p w14:paraId="72028505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1A52AF9" wp14:editId="086E3F6B">
                  <wp:extent cx="855345" cy="866140"/>
                  <wp:effectExtent l="0" t="0" r="1905" b="10160"/>
                  <wp:docPr id="11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30"/>
                          <a:srcRect r="63347" b="2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345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9" w:type="dxa"/>
            <w:tcBorders>
              <w:tl2br w:val="nil"/>
              <w:tr2bl w:val="nil"/>
            </w:tcBorders>
          </w:tcPr>
          <w:p w14:paraId="65B6061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Tra le mani:</w:t>
            </w:r>
          </w:p>
          <w:p w14:paraId="1314117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5–10 minuti a 20°C</w:t>
            </w:r>
          </w:p>
          <w:p w14:paraId="03EE16A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Prima dell’essiccazione:</w:t>
            </w:r>
          </w:p>
          <w:p w14:paraId="5FE724F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15–20 minuti a 20°C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4182B31C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8839EC0" wp14:editId="3C6DEC0A">
                  <wp:extent cx="927100" cy="875665"/>
                  <wp:effectExtent l="0" t="0" r="6350" b="635"/>
                  <wp:docPr id="123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31"/>
                          <a:srcRect r="61376" b="5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6" w:type="dxa"/>
            <w:tcBorders>
              <w:tl2br w:val="nil"/>
              <w:tr2bl w:val="nil"/>
            </w:tcBorders>
          </w:tcPr>
          <w:p w14:paraId="4E1E11A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4–6 ore a 20°C</w:t>
            </w:r>
          </w:p>
          <w:p w14:paraId="72986E1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30–60 minuti a 60°C</w:t>
            </w:r>
          </w:p>
          <w:p w14:paraId="5CC43F32" w14:textId="77777777" w:rsidR="009539C7" w:rsidRDefault="00D410EC" w:rsidP="003A644C">
            <w:r>
              <w:t xml:space="preserve">Quando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applicano</w:t>
            </w:r>
            <w:proofErr w:type="spellEnd"/>
            <w:r>
              <w:t xml:space="preserve"> 2 mani</w:t>
            </w:r>
          </w:p>
        </w:tc>
      </w:tr>
      <w:tr w:rsidR="009539C7" w:rsidRPr="008602A6" w14:paraId="7C0CE0B1" w14:textId="77777777">
        <w:tc>
          <w:tcPr>
            <w:tcW w:w="1890" w:type="dxa"/>
            <w:tcBorders>
              <w:tl2br w:val="nil"/>
              <w:tr2bl w:val="nil"/>
            </w:tcBorders>
          </w:tcPr>
          <w:p w14:paraId="331BC460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0050FA0" wp14:editId="3D355EB7">
                  <wp:extent cx="883920" cy="880745"/>
                  <wp:effectExtent l="0" t="0" r="11430" b="14605"/>
                  <wp:docPr id="124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32"/>
                          <a:srcRect r="67666" b="7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88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9" w:type="dxa"/>
            <w:tcBorders>
              <w:tl2br w:val="nil"/>
              <w:tr2bl w:val="nil"/>
            </w:tcBorders>
          </w:tcPr>
          <w:p w14:paraId="4B49788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Passo finale di carteggiatura:</w:t>
            </w:r>
          </w:p>
          <w:p w14:paraId="5CA0E0B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P500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22D92C30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37F7A68" wp14:editId="0C87BF27">
                  <wp:extent cx="946150" cy="861695"/>
                  <wp:effectExtent l="0" t="0" r="6350" b="14605"/>
                  <wp:docPr id="132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233"/>
                          <a:srcRect r="63879" b="10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6" w:type="dxa"/>
            <w:tcBorders>
              <w:tl2br w:val="nil"/>
              <w:tr2bl w:val="nil"/>
            </w:tcBorders>
          </w:tcPr>
          <w:p w14:paraId="0080FC4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Rivestimenti successivi:</w:t>
            </w:r>
          </w:p>
          <w:p w14:paraId="6F5A737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Tutti gli smalti </w:t>
            </w:r>
            <w:proofErr w:type="spellStart"/>
            <w:r>
              <w:rPr>
                <w:lang w:val="it-IT"/>
              </w:rPr>
              <w:t>Perfecoat</w:t>
            </w:r>
            <w:proofErr w:type="spellEnd"/>
            <w:r>
              <w:rPr>
                <w:lang w:val="it-IT"/>
              </w:rPr>
              <w:t xml:space="preserve"> esistenti.</w:t>
            </w:r>
          </w:p>
        </w:tc>
      </w:tr>
    </w:tbl>
    <w:p w14:paraId="1514D5B9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p w14:paraId="5B57D194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83"/>
        <w:gridCol w:w="8155"/>
      </w:tblGrid>
      <w:tr w:rsidR="009539C7" w:rsidRPr="008602A6" w14:paraId="59697B26" w14:textId="77777777">
        <w:tc>
          <w:tcPr>
            <w:tcW w:w="1485" w:type="dxa"/>
            <w:tcBorders>
              <w:left w:val="nil"/>
              <w:right w:val="nil"/>
            </w:tcBorders>
          </w:tcPr>
          <w:p w14:paraId="530FFD85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EBCE6B3" wp14:editId="3FEB4F52">
                  <wp:extent cx="762000" cy="809625"/>
                  <wp:effectExtent l="0" t="0" r="0" b="9525"/>
                  <wp:docPr id="13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9" w:type="dxa"/>
            <w:tcBorders>
              <w:left w:val="nil"/>
              <w:right w:val="nil"/>
            </w:tcBorders>
          </w:tcPr>
          <w:p w14:paraId="277DC098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Usare un respiratore appropriato</w:t>
            </w:r>
          </w:p>
          <w:p w14:paraId="1E524290" w14:textId="77777777" w:rsidR="009539C7" w:rsidRDefault="009539C7" w:rsidP="003A644C">
            <w:pPr>
              <w:rPr>
                <w:lang w:val="it-IT"/>
              </w:rPr>
            </w:pPr>
          </w:p>
          <w:p w14:paraId="54D062C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</w:tbl>
    <w:p w14:paraId="3EA6565E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3010"/>
        <w:gridCol w:w="1758"/>
        <w:gridCol w:w="3070"/>
      </w:tblGrid>
      <w:tr w:rsidR="009539C7" w14:paraId="2755D9C7" w14:textId="77777777">
        <w:trPr>
          <w:trHeight w:val="2047"/>
        </w:trPr>
        <w:tc>
          <w:tcPr>
            <w:tcW w:w="1800" w:type="dxa"/>
            <w:tcBorders>
              <w:tl2br w:val="nil"/>
              <w:tr2bl w:val="nil"/>
            </w:tcBorders>
          </w:tcPr>
          <w:p w14:paraId="0E4C2DC4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14EE504" wp14:editId="0AB49755">
                  <wp:extent cx="912495" cy="876300"/>
                  <wp:effectExtent l="0" t="0" r="1905" b="0"/>
                  <wp:docPr id="173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235"/>
                          <a:srcRect r="81925" b="30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49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8" w:type="dxa"/>
            <w:gridSpan w:val="3"/>
            <w:tcBorders>
              <w:tl2br w:val="nil"/>
              <w:tr2bl w:val="nil"/>
            </w:tcBorders>
          </w:tcPr>
          <w:p w14:paraId="1B8474F9" w14:textId="77777777" w:rsidR="009539C7" w:rsidRDefault="00D410EC" w:rsidP="003A644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Rapporti</w:t>
            </w:r>
            <w:proofErr w:type="spellEnd"/>
            <w:r>
              <w:rPr>
                <w:b/>
                <w:bCs/>
              </w:rPr>
              <w:t xml:space="preserve"> di </w:t>
            </w:r>
            <w:proofErr w:type="spellStart"/>
            <w:r>
              <w:rPr>
                <w:b/>
                <w:bCs/>
              </w:rPr>
              <w:t>miscelazione</w:t>
            </w:r>
            <w:proofErr w:type="spellEnd"/>
            <w:r>
              <w:rPr>
                <w:b/>
                <w:bCs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497"/>
              <w:gridCol w:w="1440"/>
              <w:gridCol w:w="1890"/>
              <w:gridCol w:w="1605"/>
            </w:tblGrid>
            <w:tr w:rsidR="009539C7" w14:paraId="744F1BDC" w14:textId="77777777">
              <w:tc>
                <w:tcPr>
                  <w:tcW w:w="2497" w:type="dxa"/>
                </w:tcPr>
                <w:p w14:paraId="438833D9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Versione non carteggiabile in volume</w:t>
                  </w:r>
                </w:p>
                <w:p w14:paraId="5B39D8EF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3,5</w:t>
                  </w:r>
                </w:p>
                <w:p w14:paraId="55441F24" w14:textId="77777777" w:rsidR="009539C7" w:rsidRDefault="00D410EC" w:rsidP="003A644C">
                  <w:r>
                    <w:t>1</w:t>
                  </w:r>
                </w:p>
                <w:p w14:paraId="316B8B82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1,5</w:t>
                  </w:r>
                </w:p>
              </w:tc>
              <w:tc>
                <w:tcPr>
                  <w:tcW w:w="1440" w:type="dxa"/>
                </w:tcPr>
                <w:p w14:paraId="05D3D57E" w14:textId="77777777" w:rsidR="009539C7" w:rsidRDefault="009539C7" w:rsidP="003A644C"/>
                <w:p w14:paraId="2AB1FF64" w14:textId="77777777" w:rsidR="009539C7" w:rsidRDefault="00D410EC" w:rsidP="003A644C">
                  <w:r>
                    <w:t>in peso</w:t>
                  </w:r>
                </w:p>
                <w:p w14:paraId="099F7726" w14:textId="77777777" w:rsidR="009539C7" w:rsidRDefault="00D410EC" w:rsidP="003A644C">
                  <w:r>
                    <w:t>100</w:t>
                  </w:r>
                </w:p>
                <w:p w14:paraId="45AA9BC9" w14:textId="77777777" w:rsidR="009539C7" w:rsidRDefault="00D410EC" w:rsidP="003A644C">
                  <w:r>
                    <w:t>20</w:t>
                  </w:r>
                </w:p>
                <w:p w14:paraId="3D274397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30</w:t>
                  </w:r>
                </w:p>
              </w:tc>
              <w:tc>
                <w:tcPr>
                  <w:tcW w:w="1890" w:type="dxa"/>
                </w:tcPr>
                <w:p w14:paraId="2658BBF8" w14:textId="77777777" w:rsidR="009539C7" w:rsidRDefault="009539C7" w:rsidP="003A644C"/>
                <w:p w14:paraId="352FD0D7" w14:textId="77777777" w:rsidR="009539C7" w:rsidRDefault="009539C7" w:rsidP="003A644C"/>
                <w:p w14:paraId="066BA758" w14:textId="77777777" w:rsidR="009539C7" w:rsidRDefault="00D410EC" w:rsidP="003A644C">
                  <w:r>
                    <w:t xml:space="preserve">Primer </w:t>
                  </w:r>
                  <w:proofErr w:type="spellStart"/>
                  <w:r>
                    <w:t>Epossidico</w:t>
                  </w:r>
                  <w:proofErr w:type="spellEnd"/>
                </w:p>
                <w:p w14:paraId="6AFF8946" w14:textId="77777777" w:rsidR="009539C7" w:rsidRDefault="00D410EC" w:rsidP="003A644C">
                  <w:proofErr w:type="spellStart"/>
                  <w:r>
                    <w:t>Induritore</w:t>
                  </w:r>
                  <w:proofErr w:type="spellEnd"/>
                </w:p>
                <w:p w14:paraId="68422602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proofErr w:type="spellStart"/>
                  <w:r>
                    <w:t>Diluenti</w:t>
                  </w:r>
                  <w:proofErr w:type="spellEnd"/>
                </w:p>
              </w:tc>
              <w:tc>
                <w:tcPr>
                  <w:tcW w:w="1605" w:type="dxa"/>
                </w:tcPr>
                <w:p w14:paraId="4CB90400" w14:textId="77777777" w:rsidR="009539C7" w:rsidRDefault="009539C7" w:rsidP="003A644C"/>
                <w:p w14:paraId="70DB55B4" w14:textId="77777777" w:rsidR="009539C7" w:rsidRDefault="009539C7" w:rsidP="003A644C"/>
                <w:p w14:paraId="2973D533" w14:textId="77777777" w:rsidR="009539C7" w:rsidRDefault="00D410EC" w:rsidP="003A644C">
                  <w:r>
                    <w:t>PC-GY 1350</w:t>
                  </w:r>
                </w:p>
                <w:p w14:paraId="5BC6D447" w14:textId="77777777" w:rsidR="009539C7" w:rsidRDefault="00D410EC" w:rsidP="003A644C">
                  <w:r>
                    <w:t>PC-GY1650</w:t>
                  </w:r>
                </w:p>
                <w:p w14:paraId="75CA7DF5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PC-GY1750</w:t>
                  </w:r>
                </w:p>
              </w:tc>
            </w:tr>
          </w:tbl>
          <w:p w14:paraId="19ECAA81" w14:textId="77777777" w:rsidR="009539C7" w:rsidRDefault="009539C7" w:rsidP="003A644C">
            <w:pPr>
              <w:rPr>
                <w:b/>
                <w:bCs/>
              </w:rPr>
            </w:pPr>
          </w:p>
        </w:tc>
      </w:tr>
      <w:tr w:rsidR="009539C7" w14:paraId="4406FD18" w14:textId="77777777">
        <w:tc>
          <w:tcPr>
            <w:tcW w:w="1800" w:type="dxa"/>
            <w:tcBorders>
              <w:tl2br w:val="nil"/>
              <w:tr2bl w:val="nil"/>
            </w:tcBorders>
          </w:tcPr>
          <w:p w14:paraId="239062A3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D1E594A" wp14:editId="20545BAE">
                  <wp:extent cx="979170" cy="988060"/>
                  <wp:effectExtent l="0" t="0" r="11430" b="2540"/>
                  <wp:docPr id="174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236"/>
                          <a:srcRect r="64056" b="8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98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tcBorders>
              <w:tl2br w:val="nil"/>
              <w:tr2bl w:val="nil"/>
            </w:tcBorders>
          </w:tcPr>
          <w:p w14:paraId="7524DBA8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Pistola a spruzzo: 1,2–1,4 mm</w:t>
            </w:r>
          </w:p>
          <w:p w14:paraId="220BB11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Pressione di applicazione:</w:t>
            </w:r>
          </w:p>
          <w:p w14:paraId="3594CEE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1,7–2,2 bar all’ingresso</w:t>
            </w:r>
          </w:p>
          <w:p w14:paraId="28D1C20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HVLP max 0,6–0,7 bar alla calotta d’aria</w:t>
            </w:r>
          </w:p>
        </w:tc>
        <w:tc>
          <w:tcPr>
            <w:tcW w:w="1758" w:type="dxa"/>
            <w:tcBorders>
              <w:tl2br w:val="nil"/>
              <w:tr2bl w:val="nil"/>
            </w:tcBorders>
          </w:tcPr>
          <w:p w14:paraId="120CEE5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F4DD5FC" wp14:editId="48171218">
                  <wp:extent cx="901065" cy="906145"/>
                  <wp:effectExtent l="0" t="0" r="13335" b="8255"/>
                  <wp:docPr id="175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237"/>
                          <a:srcRect r="68255" b="8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tcBorders>
              <w:tl2br w:val="nil"/>
              <w:tr2bl w:val="nil"/>
            </w:tcBorders>
          </w:tcPr>
          <w:p w14:paraId="1520661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Applicazione: 1 mano sottile uniforme / 12–15 </w:t>
            </w:r>
            <w:r>
              <w:t>μ</w:t>
            </w:r>
            <w:r>
              <w:rPr>
                <w:lang w:val="it-IT"/>
              </w:rPr>
              <w:t>m</w:t>
            </w:r>
          </w:p>
          <w:p w14:paraId="16FA063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Viscosità di lavoro 13 secondi</w:t>
            </w:r>
          </w:p>
          <w:p w14:paraId="10CDD8E8" w14:textId="77777777" w:rsidR="009539C7" w:rsidRDefault="00D410EC" w:rsidP="003A644C">
            <w:pPr>
              <w:rPr>
                <w:lang w:val="ru-RU"/>
              </w:rPr>
            </w:pPr>
            <w:r>
              <w:t>(Coppa DIN 4 a 20°C)</w:t>
            </w:r>
          </w:p>
        </w:tc>
      </w:tr>
      <w:tr w:rsidR="009539C7" w:rsidRPr="008602A6" w14:paraId="31CD2CEB" w14:textId="77777777">
        <w:tc>
          <w:tcPr>
            <w:tcW w:w="1800" w:type="dxa"/>
            <w:tcBorders>
              <w:tl2br w:val="nil"/>
              <w:tr2bl w:val="nil"/>
            </w:tcBorders>
          </w:tcPr>
          <w:p w14:paraId="5B286021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81DEBA0" wp14:editId="6EE528D9">
                  <wp:extent cx="893445" cy="888365"/>
                  <wp:effectExtent l="0" t="0" r="1905" b="6985"/>
                  <wp:docPr id="176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238"/>
                          <a:srcRect r="67088" b="14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445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tcBorders>
              <w:tl2br w:val="nil"/>
              <w:tr2bl w:val="nil"/>
            </w:tcBorders>
          </w:tcPr>
          <w:p w14:paraId="36FCA6B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Appassimento:</w:t>
            </w:r>
          </w:p>
          <w:p w14:paraId="15953E7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Minimo 30 minuti a 20°C</w:t>
            </w:r>
          </w:p>
          <w:p w14:paraId="198AD9C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Applicare i rivestimenti successivi entro (tempo aperto)</w:t>
            </w:r>
          </w:p>
          <w:p w14:paraId="7ED0E8F3" w14:textId="77777777" w:rsidR="009539C7" w:rsidRDefault="00D410EC" w:rsidP="003A644C">
            <w:pPr>
              <w:rPr>
                <w:lang w:val="ru-RU"/>
              </w:rPr>
            </w:pPr>
            <w:r>
              <w:t>Massimo 24 ore a 20°C</w:t>
            </w:r>
          </w:p>
        </w:tc>
        <w:tc>
          <w:tcPr>
            <w:tcW w:w="1758" w:type="dxa"/>
            <w:tcBorders>
              <w:tl2br w:val="nil"/>
              <w:tr2bl w:val="nil"/>
            </w:tcBorders>
          </w:tcPr>
          <w:p w14:paraId="2F85ADB0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85CF0DC" wp14:editId="509114A4">
                  <wp:extent cx="910590" cy="962660"/>
                  <wp:effectExtent l="0" t="0" r="3810" b="8890"/>
                  <wp:docPr id="177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239"/>
                          <a:srcRect r="66219" b="5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590" cy="96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tcBorders>
              <w:tl2br w:val="nil"/>
              <w:tr2bl w:val="nil"/>
            </w:tcBorders>
          </w:tcPr>
          <w:p w14:paraId="3664F2B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Rivestimenti successivi:</w:t>
            </w:r>
          </w:p>
          <w:p w14:paraId="59BFE55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Tutti i fondi riempitivi e gli smalti </w:t>
            </w:r>
            <w:proofErr w:type="spellStart"/>
            <w:r>
              <w:rPr>
                <w:lang w:val="it-IT"/>
              </w:rPr>
              <w:t>Perfecoat</w:t>
            </w:r>
            <w:proofErr w:type="spellEnd"/>
            <w:r>
              <w:rPr>
                <w:lang w:val="it-IT"/>
              </w:rPr>
              <w:t xml:space="preserve"> esistenti.</w:t>
            </w:r>
          </w:p>
        </w:tc>
      </w:tr>
      <w:tr w:rsidR="009539C7" w:rsidRPr="008602A6" w14:paraId="45511CA5" w14:textId="77777777">
        <w:tc>
          <w:tcPr>
            <w:tcW w:w="1800" w:type="dxa"/>
            <w:tcBorders>
              <w:tl2br w:val="nil"/>
              <w:tr2bl w:val="nil"/>
            </w:tcBorders>
          </w:tcPr>
          <w:p w14:paraId="2740FAB4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3010" w:type="dxa"/>
            <w:tcBorders>
              <w:tl2br w:val="nil"/>
              <w:tr2bl w:val="nil"/>
            </w:tcBorders>
          </w:tcPr>
          <w:p w14:paraId="02DEA23D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1758" w:type="dxa"/>
            <w:tcBorders>
              <w:tl2br w:val="nil"/>
              <w:tr2bl w:val="nil"/>
            </w:tcBorders>
          </w:tcPr>
          <w:p w14:paraId="32029F48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3070" w:type="dxa"/>
            <w:tcBorders>
              <w:tl2br w:val="nil"/>
              <w:tr2bl w:val="nil"/>
            </w:tcBorders>
          </w:tcPr>
          <w:p w14:paraId="29A54B93" w14:textId="77777777" w:rsidR="009539C7" w:rsidRDefault="009539C7" w:rsidP="003A644C">
            <w:pPr>
              <w:rPr>
                <w:lang w:val="it-IT"/>
              </w:rPr>
            </w:pPr>
          </w:p>
        </w:tc>
      </w:tr>
    </w:tbl>
    <w:p w14:paraId="53C4C267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5"/>
        <w:gridCol w:w="7193"/>
      </w:tblGrid>
      <w:tr w:rsidR="009539C7" w:rsidRPr="008602A6" w14:paraId="6F4666C1" w14:textId="77777777">
        <w:tc>
          <w:tcPr>
            <w:tcW w:w="2475" w:type="dxa"/>
            <w:tcBorders>
              <w:left w:val="nil"/>
              <w:right w:val="nil"/>
            </w:tcBorders>
          </w:tcPr>
          <w:p w14:paraId="3E62C8C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8D1C6EB" wp14:editId="52C9226D">
                  <wp:extent cx="809625" cy="828675"/>
                  <wp:effectExtent l="0" t="0" r="9525" b="9525"/>
                  <wp:docPr id="178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9" w:type="dxa"/>
            <w:tcBorders>
              <w:left w:val="nil"/>
              <w:right w:val="nil"/>
            </w:tcBorders>
          </w:tcPr>
          <w:p w14:paraId="6EBE431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Usare un respiratore appropriato</w:t>
            </w:r>
          </w:p>
          <w:p w14:paraId="1420319B" w14:textId="77777777" w:rsidR="009539C7" w:rsidRDefault="009539C7" w:rsidP="003A644C">
            <w:pPr>
              <w:rPr>
                <w:lang w:val="it-IT"/>
              </w:rPr>
            </w:pPr>
          </w:p>
          <w:p w14:paraId="321BCAF8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</w:tbl>
    <w:p w14:paraId="7AE0F212" w14:textId="77777777" w:rsidR="009539C7" w:rsidRDefault="009539C7" w:rsidP="003A644C">
      <w:pPr>
        <w:rPr>
          <w:lang w:val="it-IT"/>
        </w:rPr>
      </w:pPr>
    </w:p>
    <w:p w14:paraId="22B39567" w14:textId="77777777" w:rsidR="009539C7" w:rsidRDefault="009539C7" w:rsidP="003A644C">
      <w:pPr>
        <w:rPr>
          <w:lang w:val="it-IT"/>
        </w:rPr>
      </w:pPr>
    </w:p>
    <w:p w14:paraId="5E774371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p w14:paraId="20633AA4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lastRenderedPageBreak/>
        <w:t>Supporti idonei</w:t>
      </w:r>
    </w:p>
    <w:p w14:paraId="19CD7155" w14:textId="77777777" w:rsidR="009539C7" w:rsidRDefault="00D410EC" w:rsidP="003A644C">
      <w:pPr>
        <w:rPr>
          <w:lang w:val="it-IT"/>
        </w:rPr>
      </w:pPr>
      <w:r>
        <w:rPr>
          <w:lang w:val="it-IT"/>
        </w:rPr>
        <w:t>Rivestimento esistente</w:t>
      </w:r>
      <w:r>
        <w:rPr>
          <w:lang w:val="it-IT"/>
        </w:rPr>
        <w:tab/>
      </w:r>
      <w:r>
        <w:rPr>
          <w:lang w:val="it-IT"/>
        </w:rPr>
        <w:tab/>
        <w:t>Laminati (VTR)</w:t>
      </w:r>
    </w:p>
    <w:p w14:paraId="798195DA" w14:textId="77777777" w:rsidR="009539C7" w:rsidRDefault="00D410EC" w:rsidP="003A644C">
      <w:pPr>
        <w:rPr>
          <w:lang w:val="it-IT"/>
        </w:rPr>
      </w:pPr>
      <w:r>
        <w:rPr>
          <w:lang w:val="it-IT"/>
        </w:rPr>
        <w:t>Acciaio</w:t>
      </w:r>
    </w:p>
    <w:p w14:paraId="7B5ED370" w14:textId="77777777" w:rsidR="009539C7" w:rsidRDefault="00D410EC" w:rsidP="003A644C">
      <w:pPr>
        <w:rPr>
          <w:lang w:val="it-IT"/>
        </w:rPr>
      </w:pPr>
      <w:r>
        <w:rPr>
          <w:lang w:val="it-IT"/>
        </w:rPr>
        <w:t>Alluminio</w:t>
      </w:r>
    </w:p>
    <w:p w14:paraId="7FE26AA4" w14:textId="77777777" w:rsidR="009539C7" w:rsidRDefault="00D410EC" w:rsidP="003A644C">
      <w:pPr>
        <w:rPr>
          <w:lang w:val="it-IT"/>
        </w:rPr>
      </w:pPr>
      <w:r>
        <w:rPr>
          <w:lang w:val="it-IT"/>
        </w:rPr>
        <w:t>Acciaio zincato</w:t>
      </w:r>
    </w:p>
    <w:p w14:paraId="2C2218A1" w14:textId="77777777" w:rsidR="009539C7" w:rsidRDefault="00D410EC" w:rsidP="003A644C">
      <w:pPr>
        <w:rPr>
          <w:lang w:val="it-IT"/>
        </w:rPr>
      </w:pPr>
      <w:r>
        <w:rPr>
          <w:lang w:val="it-IT"/>
        </w:rPr>
        <w:t>Primer elettrostatico OEM</w:t>
      </w:r>
    </w:p>
    <w:p w14:paraId="3317A67D" w14:textId="77777777" w:rsidR="009539C7" w:rsidRDefault="00D410EC" w:rsidP="003A644C">
      <w:pPr>
        <w:rPr>
          <w:lang w:val="it-IT"/>
        </w:rPr>
      </w:pPr>
      <w:r>
        <w:rPr>
          <w:lang w:val="it-IT"/>
        </w:rPr>
        <w:t>Non applicare su primer mordenzanti</w:t>
      </w:r>
    </w:p>
    <w:p w14:paraId="2D5AE69F" w14:textId="77777777" w:rsidR="009539C7" w:rsidRDefault="009539C7" w:rsidP="003A644C">
      <w:pPr>
        <w:rPr>
          <w:lang w:val="it-IT"/>
        </w:rPr>
      </w:pPr>
    </w:p>
    <w:p w14:paraId="134E3A1B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Prodotti e additivi</w:t>
      </w:r>
    </w:p>
    <w:p w14:paraId="3B17D734" w14:textId="77777777" w:rsidR="009539C7" w:rsidRDefault="00D410EC" w:rsidP="003A644C">
      <w:pPr>
        <w:rPr>
          <w:lang w:val="it-IT"/>
        </w:rPr>
      </w:pPr>
      <w:r>
        <w:rPr>
          <w:b/>
          <w:bCs/>
          <w:lang w:val="it-IT"/>
        </w:rPr>
        <w:t>Prodotti</w:t>
      </w:r>
      <w:r>
        <w:rPr>
          <w:lang w:val="it-IT"/>
        </w:rPr>
        <w:tab/>
      </w:r>
      <w:r>
        <w:rPr>
          <w:lang w:val="it-IT"/>
        </w:rPr>
        <w:tab/>
        <w:t>PC-GY 1350</w:t>
      </w:r>
    </w:p>
    <w:p w14:paraId="1CA7C4FA" w14:textId="77777777" w:rsidR="009539C7" w:rsidRDefault="00D410EC" w:rsidP="003A644C">
      <w:pPr>
        <w:rPr>
          <w:lang w:val="it-IT"/>
        </w:rPr>
      </w:pPr>
      <w:proofErr w:type="spellStart"/>
      <w:r>
        <w:rPr>
          <w:b/>
          <w:bCs/>
          <w:lang w:val="it-IT"/>
        </w:rPr>
        <w:t>Induritori</w:t>
      </w:r>
      <w:proofErr w:type="spellEnd"/>
      <w:r>
        <w:rPr>
          <w:lang w:val="it-IT"/>
        </w:rPr>
        <w:tab/>
        <w:t>PC-GY 1650</w:t>
      </w:r>
    </w:p>
    <w:p w14:paraId="6B3C718D" w14:textId="77777777" w:rsidR="009539C7" w:rsidRDefault="00D410EC" w:rsidP="003A644C">
      <w:pPr>
        <w:rPr>
          <w:lang w:val="it-IT"/>
        </w:rPr>
      </w:pPr>
      <w:r>
        <w:rPr>
          <w:b/>
          <w:bCs/>
          <w:lang w:val="it-IT"/>
        </w:rPr>
        <w:t>Diluenti</w:t>
      </w:r>
      <w:r>
        <w:rPr>
          <w:lang w:val="it-IT"/>
        </w:rPr>
        <w:tab/>
      </w:r>
      <w:r>
        <w:rPr>
          <w:lang w:val="it-IT"/>
        </w:rPr>
        <w:tab/>
        <w:t>PC-GY 1750</w:t>
      </w:r>
    </w:p>
    <w:p w14:paraId="08DD1A0C" w14:textId="77777777" w:rsidR="009539C7" w:rsidRDefault="009539C7" w:rsidP="003A644C">
      <w:pPr>
        <w:rPr>
          <w:lang w:val="it-IT"/>
        </w:rPr>
      </w:pPr>
    </w:p>
    <w:p w14:paraId="253D0086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Componenti principali</w:t>
      </w:r>
    </w:p>
    <w:p w14:paraId="3049D711" w14:textId="77777777" w:rsidR="009539C7" w:rsidRDefault="00D410EC" w:rsidP="003A644C">
      <w:pPr>
        <w:rPr>
          <w:lang w:val="it-IT"/>
        </w:rPr>
      </w:pPr>
      <w:r>
        <w:rPr>
          <w:lang w:val="it-IT"/>
        </w:rPr>
        <w:t>PC-GY 1350 – Resina epossidica</w:t>
      </w:r>
    </w:p>
    <w:p w14:paraId="1BCC7E78" w14:textId="77777777" w:rsidR="009539C7" w:rsidRDefault="00D410EC" w:rsidP="003A644C">
      <w:r>
        <w:t xml:space="preserve">PC-GY 1650 – </w:t>
      </w:r>
      <w:proofErr w:type="spellStart"/>
      <w:r>
        <w:t>Ammina</w:t>
      </w:r>
      <w:proofErr w:type="spellEnd"/>
      <w:r>
        <w:t xml:space="preserve"> </w:t>
      </w:r>
      <w:proofErr w:type="spellStart"/>
      <w:r>
        <w:t>acida</w:t>
      </w:r>
      <w:proofErr w:type="spellEnd"/>
    </w:p>
    <w:tbl>
      <w:tblPr>
        <w:tblStyle w:val="Grigliatabella"/>
        <w:tblpPr w:leftFromText="180" w:rightFromText="180" w:vertAnchor="text" w:horzAnchor="page" w:tblpX="1125" w:tblpY="285"/>
        <w:tblOverlap w:val="nev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0"/>
        <w:gridCol w:w="7848"/>
      </w:tblGrid>
      <w:tr w:rsidR="009539C7" w:rsidRPr="008602A6" w14:paraId="3B55A46B" w14:textId="77777777">
        <w:tc>
          <w:tcPr>
            <w:tcW w:w="1800" w:type="dxa"/>
            <w:tcBorders>
              <w:tl2br w:val="nil"/>
              <w:tr2bl w:val="nil"/>
            </w:tcBorders>
          </w:tcPr>
          <w:p w14:paraId="0F1C8C86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93A8F82" wp14:editId="26A034E3">
                  <wp:extent cx="800100" cy="800100"/>
                  <wp:effectExtent l="0" t="0" r="0" b="0"/>
                  <wp:docPr id="179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4" w:type="dxa"/>
            <w:tcBorders>
              <w:tl2br w:val="nil"/>
              <w:tr2bl w:val="nil"/>
            </w:tcBorders>
          </w:tcPr>
          <w:p w14:paraId="5547BCBB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superficie: tutti i contaminanti devono essere rimossi dalla superficie prima della carteggiatura; utilizzare gli sgrassanti raccomandati.</w:t>
            </w:r>
          </w:p>
          <w:p w14:paraId="3C2039C9" w14:textId="77777777" w:rsidR="009539C7" w:rsidRPr="00BA4A4E" w:rsidRDefault="00D410EC" w:rsidP="003A644C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Prelavare</w:t>
            </w:r>
            <w:proofErr w:type="spellEnd"/>
            <w:r>
              <w:rPr>
                <w:lang w:val="it-IT"/>
              </w:rPr>
              <w:t xml:space="preserve"> le superfici con vernice esistente con acqua tiepida e detergenti, quindi risciacquare il pezzo con acqua pulita.</w:t>
            </w:r>
          </w:p>
        </w:tc>
      </w:tr>
      <w:tr w:rsidR="009539C7" w14:paraId="238C0F24" w14:textId="77777777">
        <w:tc>
          <w:tcPr>
            <w:tcW w:w="1800" w:type="dxa"/>
            <w:tcBorders>
              <w:tl2br w:val="nil"/>
              <w:tr2bl w:val="nil"/>
            </w:tcBorders>
          </w:tcPr>
          <w:p w14:paraId="5F9172E3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B19A6F4" wp14:editId="5226CB36">
                  <wp:extent cx="809625" cy="809625"/>
                  <wp:effectExtent l="0" t="0" r="9525" b="9525"/>
                  <wp:docPr id="180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4" w:type="dxa"/>
            <w:tcBorders>
              <w:tl2br w:val="nil"/>
              <w:tr2bl w:val="nil"/>
            </w:tcBorders>
          </w:tcPr>
          <w:p w14:paraId="69F15C6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Carteggiatura; carteggiatura a secco dei rivestimenti esistenti, passo finale; P220–P320</w:t>
            </w:r>
          </w:p>
          <w:p w14:paraId="6B72075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Carteggiatura; carteggiatura a secco dell’acciaio, passo finale; P120–P220</w:t>
            </w:r>
          </w:p>
          <w:p w14:paraId="1090C2D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Carteggiatura; carteggiatura a secco di stucchi e fondi spruzzabili,</w:t>
            </w:r>
          </w:p>
          <w:p w14:paraId="1C8E8B8B" w14:textId="77777777" w:rsidR="009539C7" w:rsidRDefault="00D410EC" w:rsidP="003A644C">
            <w:proofErr w:type="spellStart"/>
            <w:r>
              <w:t>passo</w:t>
            </w:r>
            <w:proofErr w:type="spellEnd"/>
            <w:r>
              <w:t xml:space="preserve"> finale; P180–P220</w:t>
            </w:r>
          </w:p>
        </w:tc>
      </w:tr>
      <w:tr w:rsidR="009539C7" w:rsidRPr="008602A6" w14:paraId="028FE235" w14:textId="77777777">
        <w:tc>
          <w:tcPr>
            <w:tcW w:w="1800" w:type="dxa"/>
            <w:tcBorders>
              <w:tl2br w:val="nil"/>
              <w:tr2bl w:val="nil"/>
            </w:tcBorders>
          </w:tcPr>
          <w:p w14:paraId="4F2DA20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54EB81A" wp14:editId="27F97CFC">
                  <wp:extent cx="800100" cy="838200"/>
                  <wp:effectExtent l="0" t="0" r="0" b="0"/>
                  <wp:docPr id="181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4" w:type="dxa"/>
            <w:tcBorders>
              <w:tl2br w:val="nil"/>
              <w:tr2bl w:val="nil"/>
            </w:tcBorders>
          </w:tcPr>
          <w:p w14:paraId="24ADF17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 prima dell’applicazione: rimuovere tutti i contaminanti con uno sgrassante idoneo.</w:t>
            </w:r>
          </w:p>
          <w:p w14:paraId="40150C9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Durante lo sgrassaggio di materiali poliesteri, utilizzare solo sgrassanti a base solvente. Evitare il contatto dei materiali poliesteri con l’acqua (sgrassanti a base acqua).</w:t>
            </w:r>
          </w:p>
        </w:tc>
      </w:tr>
      <w:tr w:rsidR="009539C7" w14:paraId="658E8F48" w14:textId="77777777">
        <w:tc>
          <w:tcPr>
            <w:tcW w:w="9854" w:type="dxa"/>
            <w:gridSpan w:val="2"/>
            <w:tcBorders>
              <w:tl2br w:val="nil"/>
              <w:tr2bl w:val="nil"/>
            </w:tcBorders>
          </w:tcPr>
          <w:p w14:paraId="64E5C253" w14:textId="77777777" w:rsidR="009539C7" w:rsidRPr="00BA4A4E" w:rsidRDefault="009539C7" w:rsidP="003A644C">
            <w:pPr>
              <w:rPr>
                <w:lang w:val="it-IT"/>
              </w:rPr>
            </w:pPr>
          </w:p>
          <w:p w14:paraId="5D5CD766" w14:textId="77777777" w:rsidR="009539C7" w:rsidRPr="00BA4A4E" w:rsidRDefault="009539C7" w:rsidP="003A644C">
            <w:pPr>
              <w:rPr>
                <w:lang w:val="it-IT"/>
              </w:rPr>
            </w:pPr>
          </w:p>
          <w:p w14:paraId="4DC04E74" w14:textId="77777777" w:rsidR="009539C7" w:rsidRDefault="00D410EC" w:rsidP="003A644C">
            <w:proofErr w:type="spellStart"/>
            <w:r>
              <w:t>Agitazione</w:t>
            </w:r>
            <w:proofErr w:type="spellEnd"/>
            <w:r>
              <w:t xml:space="preserve"> prima </w:t>
            </w:r>
            <w:proofErr w:type="spellStart"/>
            <w:r>
              <w:t>dell’uso</w:t>
            </w:r>
            <w:proofErr w:type="spellEnd"/>
          </w:p>
        </w:tc>
      </w:tr>
      <w:tr w:rsidR="009539C7" w:rsidRPr="008602A6" w14:paraId="5327E634" w14:textId="77777777">
        <w:tc>
          <w:tcPr>
            <w:tcW w:w="1800" w:type="dxa"/>
            <w:tcBorders>
              <w:tl2br w:val="nil"/>
              <w:tr2bl w:val="nil"/>
            </w:tcBorders>
          </w:tcPr>
          <w:p w14:paraId="291BA083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293CAA96" wp14:editId="17690A92">
                  <wp:extent cx="781050" cy="809625"/>
                  <wp:effectExtent l="0" t="0" r="0" b="9525"/>
                  <wp:docPr id="182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4" w:type="dxa"/>
            <w:tcBorders>
              <w:tl2br w:val="nil"/>
              <w:tr2bl w:val="nil"/>
            </w:tcBorders>
          </w:tcPr>
          <w:p w14:paraId="23E995E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Agitare accuratamente tutti i colori PC-GY 1350 prima della miscelazione</w:t>
            </w:r>
          </w:p>
        </w:tc>
      </w:tr>
    </w:tbl>
    <w:p w14:paraId="3CB73055" w14:textId="77777777" w:rsidR="009539C7" w:rsidRDefault="009539C7" w:rsidP="003A644C">
      <w:pPr>
        <w:rPr>
          <w:lang w:val="it-IT"/>
        </w:rPr>
      </w:pPr>
    </w:p>
    <w:p w14:paraId="5AC605BE" w14:textId="77777777" w:rsidR="009539C7" w:rsidRDefault="009539C7" w:rsidP="003A644C">
      <w:pPr>
        <w:rPr>
          <w:lang w:val="it-IT"/>
        </w:rPr>
      </w:pPr>
    </w:p>
    <w:p w14:paraId="79D73432" w14:textId="77777777" w:rsidR="009539C7" w:rsidRDefault="009539C7" w:rsidP="003A644C">
      <w:pPr>
        <w:rPr>
          <w:lang w:val="it-IT"/>
        </w:rPr>
      </w:pPr>
    </w:p>
    <w:p w14:paraId="4FFA4AC3" w14:textId="77777777" w:rsidR="009539C7" w:rsidRDefault="009539C7" w:rsidP="003A644C">
      <w:pPr>
        <w:rPr>
          <w:lang w:val="it-IT"/>
        </w:rPr>
      </w:pPr>
    </w:p>
    <w:p w14:paraId="50130A8F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3"/>
        <w:gridCol w:w="8075"/>
      </w:tblGrid>
      <w:tr w:rsidR="009539C7" w14:paraId="463E5EE2" w14:textId="77777777">
        <w:trPr>
          <w:trHeight w:val="2152"/>
        </w:trPr>
        <w:tc>
          <w:tcPr>
            <w:tcW w:w="1440" w:type="dxa"/>
            <w:tcBorders>
              <w:tl2br w:val="nil"/>
              <w:tr2bl w:val="nil"/>
            </w:tcBorders>
          </w:tcPr>
          <w:p w14:paraId="0588E320" w14:textId="77777777" w:rsidR="009539C7" w:rsidRDefault="00D410EC" w:rsidP="003A644C">
            <w:r>
              <w:rPr>
                <w:noProof/>
              </w:rPr>
              <w:lastRenderedPageBreak/>
              <w:drawing>
                <wp:inline distT="0" distB="0" distL="114300" distR="114300" wp14:anchorId="33C740DB" wp14:editId="7E0FE5C6">
                  <wp:extent cx="845820" cy="818515"/>
                  <wp:effectExtent l="0" t="0" r="11430" b="635"/>
                  <wp:docPr id="184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245"/>
                          <a:srcRect r="82207" b="20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8" w:type="dxa"/>
            <w:tcBorders>
              <w:tl2br w:val="nil"/>
              <w:tr2bl w:val="nil"/>
            </w:tcBorders>
          </w:tcPr>
          <w:p w14:paraId="6F7DE79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Rapporti di miscelazione</w:t>
            </w:r>
          </w:p>
          <w:tbl>
            <w:tblPr>
              <w:tblStyle w:val="Grigliatabella"/>
              <w:tblW w:w="7866" w:type="dxa"/>
              <w:tblLook w:val="04A0" w:firstRow="1" w:lastRow="0" w:firstColumn="1" w:lastColumn="0" w:noHBand="0" w:noVBand="1"/>
            </w:tblPr>
            <w:tblGrid>
              <w:gridCol w:w="2135"/>
              <w:gridCol w:w="2430"/>
              <w:gridCol w:w="1771"/>
              <w:gridCol w:w="1530"/>
            </w:tblGrid>
            <w:tr w:rsidR="009539C7" w14:paraId="5189F522" w14:textId="77777777">
              <w:tc>
                <w:tcPr>
                  <w:tcW w:w="2135" w:type="dxa"/>
                </w:tcPr>
                <w:p w14:paraId="4C296E35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Versione carteggiabile</w:t>
                  </w:r>
                </w:p>
                <w:p w14:paraId="6C75BA7F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3,5</w:t>
                  </w:r>
                </w:p>
                <w:p w14:paraId="7B8092C5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1</w:t>
                  </w:r>
                </w:p>
                <w:p w14:paraId="0E8B7A7E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1</w:t>
                  </w:r>
                </w:p>
              </w:tc>
              <w:tc>
                <w:tcPr>
                  <w:tcW w:w="2430" w:type="dxa"/>
                </w:tcPr>
                <w:p w14:paraId="17E6EF0B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Versione non carteggiabile</w:t>
                  </w:r>
                </w:p>
                <w:p w14:paraId="116D467A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3,5</w:t>
                  </w:r>
                </w:p>
                <w:p w14:paraId="283562C1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1</w:t>
                  </w:r>
                </w:p>
                <w:p w14:paraId="231A54F1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1,5</w:t>
                  </w:r>
                </w:p>
              </w:tc>
              <w:tc>
                <w:tcPr>
                  <w:tcW w:w="1771" w:type="dxa"/>
                </w:tcPr>
                <w:p w14:paraId="44395853" w14:textId="77777777" w:rsidR="009539C7" w:rsidRDefault="009539C7" w:rsidP="003A644C">
                  <w:pPr>
                    <w:rPr>
                      <w:lang w:val="it-IT"/>
                    </w:rPr>
                  </w:pPr>
                </w:p>
                <w:p w14:paraId="66FE3986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Primer Epossidico</w:t>
                  </w:r>
                </w:p>
                <w:p w14:paraId="41F1AD8F" w14:textId="77777777" w:rsidR="009539C7" w:rsidRDefault="00D410EC" w:rsidP="003A644C">
                  <w:pPr>
                    <w:rPr>
                      <w:lang w:val="it-IT"/>
                    </w:rPr>
                  </w:pPr>
                  <w:proofErr w:type="spellStart"/>
                  <w:r>
                    <w:rPr>
                      <w:lang w:val="it-IT"/>
                    </w:rPr>
                    <w:t>Induritore</w:t>
                  </w:r>
                  <w:proofErr w:type="spellEnd"/>
                </w:p>
                <w:p w14:paraId="6F9C25A8" w14:textId="77777777" w:rsidR="009539C7" w:rsidRDefault="00D410EC" w:rsidP="003A644C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Diluenti</w:t>
                  </w:r>
                </w:p>
              </w:tc>
              <w:tc>
                <w:tcPr>
                  <w:tcW w:w="1530" w:type="dxa"/>
                </w:tcPr>
                <w:p w14:paraId="545D8EA6" w14:textId="77777777" w:rsidR="009539C7" w:rsidRPr="00BA4A4E" w:rsidRDefault="009539C7" w:rsidP="003A644C"/>
                <w:p w14:paraId="24365072" w14:textId="77777777" w:rsidR="009539C7" w:rsidRDefault="00D410EC" w:rsidP="003A644C">
                  <w:r>
                    <w:t>PC-GY 1350</w:t>
                  </w:r>
                </w:p>
                <w:p w14:paraId="52B8EC98" w14:textId="77777777" w:rsidR="009539C7" w:rsidRDefault="00D410EC" w:rsidP="003A644C">
                  <w:r>
                    <w:t>PC-GY1650</w:t>
                  </w:r>
                </w:p>
                <w:p w14:paraId="1B59727D" w14:textId="77777777" w:rsidR="009539C7" w:rsidRDefault="00D410EC" w:rsidP="003A644C">
                  <w:r>
                    <w:t>PC-GY1750</w:t>
                  </w:r>
                </w:p>
              </w:tc>
            </w:tr>
          </w:tbl>
          <w:p w14:paraId="348DFD62" w14:textId="77777777" w:rsidR="009539C7" w:rsidRDefault="009539C7" w:rsidP="003A644C"/>
        </w:tc>
      </w:tr>
      <w:tr w:rsidR="009539C7" w:rsidRPr="008602A6" w14:paraId="6AC2AD09" w14:textId="77777777">
        <w:tc>
          <w:tcPr>
            <w:tcW w:w="9638" w:type="dxa"/>
            <w:gridSpan w:val="2"/>
            <w:tcBorders>
              <w:tl2br w:val="nil"/>
              <w:tr2bl w:val="nil"/>
            </w:tcBorders>
          </w:tcPr>
          <w:p w14:paraId="61CAEC7A" w14:textId="77777777" w:rsidR="009539C7" w:rsidRDefault="00D410EC" w:rsidP="003A644C">
            <w:pPr>
              <w:rPr>
                <w:b/>
                <w:bCs/>
                <w:color w:val="0000FF"/>
                <w:lang w:val="it-IT"/>
              </w:rPr>
            </w:pPr>
            <w:r>
              <w:rPr>
                <w:b/>
                <w:bCs/>
                <w:color w:val="0000FF"/>
                <w:lang w:val="it-IT"/>
              </w:rPr>
              <w:t>Vita utile (</w:t>
            </w:r>
            <w:proofErr w:type="spellStart"/>
            <w:r>
              <w:rPr>
                <w:b/>
                <w:bCs/>
                <w:color w:val="0000FF"/>
                <w:lang w:val="it-IT"/>
              </w:rPr>
              <w:t>pot</w:t>
            </w:r>
            <w:proofErr w:type="spellEnd"/>
            <w:r>
              <w:rPr>
                <w:b/>
                <w:bCs/>
                <w:color w:val="0000FF"/>
                <w:lang w:val="it-IT"/>
              </w:rPr>
              <w:t>-life)</w:t>
            </w:r>
          </w:p>
          <w:p w14:paraId="40DEDF2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Versione carteggiabile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tab/>
              <w:t>3–4 ore a 20°C</w:t>
            </w:r>
          </w:p>
          <w:p w14:paraId="4122FAE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Versione non carteggiabile</w:t>
            </w:r>
            <w:r>
              <w:rPr>
                <w:lang w:val="it-IT"/>
              </w:rPr>
              <w:tab/>
              <w:t>3–4 ore a 20°C</w:t>
            </w:r>
          </w:p>
          <w:p w14:paraId="75FFA0A4" w14:textId="77777777" w:rsidR="009539C7" w:rsidRDefault="009539C7" w:rsidP="003A644C">
            <w:pPr>
              <w:rPr>
                <w:lang w:val="it-IT"/>
              </w:rPr>
            </w:pPr>
          </w:p>
        </w:tc>
      </w:tr>
    </w:tbl>
    <w:p w14:paraId="49751D0B" w14:textId="77777777" w:rsidR="009539C7" w:rsidRDefault="009539C7" w:rsidP="003A644C">
      <w:pPr>
        <w:rPr>
          <w:lang w:val="it-IT"/>
        </w:rPr>
      </w:pPr>
    </w:p>
    <w:p w14:paraId="2CE8029E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Applicazione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85"/>
        <w:gridCol w:w="8053"/>
      </w:tblGrid>
      <w:tr w:rsidR="009539C7" w:rsidRPr="008602A6" w14:paraId="307EAC9E" w14:textId="77777777">
        <w:tc>
          <w:tcPr>
            <w:tcW w:w="1590" w:type="dxa"/>
            <w:tcBorders>
              <w:left w:val="nil"/>
              <w:right w:val="nil"/>
            </w:tcBorders>
          </w:tcPr>
          <w:p w14:paraId="5BB93626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2EEE36D" wp14:editId="6197A83C">
                  <wp:extent cx="781050" cy="800100"/>
                  <wp:effectExtent l="0" t="0" r="0" b="0"/>
                  <wp:docPr id="185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4" w:type="dxa"/>
            <w:tcBorders>
              <w:left w:val="nil"/>
              <w:right w:val="nil"/>
            </w:tcBorders>
          </w:tcPr>
          <w:p w14:paraId="6B5F25F8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Carteggiabile</w:t>
            </w:r>
            <w:r>
              <w:rPr>
                <w:lang w:val="it-IT"/>
              </w:rPr>
              <w:t>: applicare la prima mano su tutta la superficie carteggiata.</w:t>
            </w:r>
          </w:p>
          <w:p w14:paraId="3C4096F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Applicare le successive 1–2 mani entro l’area precedente. In caso di applicazione sull’intero pezzo, applicare le mani su tutta la superficie per raggiungere lo spessore richiesto.</w:t>
            </w:r>
          </w:p>
          <w:p w14:paraId="14EBCBDC" w14:textId="77777777" w:rsidR="009539C7" w:rsidRDefault="009539C7" w:rsidP="003A644C">
            <w:pPr>
              <w:rPr>
                <w:lang w:val="it-IT"/>
              </w:rPr>
            </w:pPr>
          </w:p>
          <w:p w14:paraId="34F879C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Consentire l'appassimento fino ad aspetto opaco tra le mani, il che è particolarmente importante ad alti spessori. Non utilizzare aria compressa per accelerare l’essiccazione. Il tempo di appassimento tra le mani dipende direttamente dalla temperatura dell’aria, dalla portata d’aria e dallo spessore di film applicato. Per ottenere lo spessore massimo, è possibile utilizzare un ugello di diametro maggiore e ridurre la pressione.</w:t>
            </w:r>
          </w:p>
          <w:p w14:paraId="3B63E237" w14:textId="77777777" w:rsidR="009539C7" w:rsidRDefault="009539C7" w:rsidP="003A644C">
            <w:pPr>
              <w:rPr>
                <w:lang w:val="it-IT"/>
              </w:rPr>
            </w:pPr>
          </w:p>
          <w:p w14:paraId="01EA308D" w14:textId="77777777" w:rsidR="009539C7" w:rsidRDefault="00D410EC" w:rsidP="003A644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Non carteggiabile:</w:t>
            </w:r>
          </w:p>
          <w:p w14:paraId="1055392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Applicare una mano bagnata, sottile e uniforme su tutta la superficie del pezzo.</w:t>
            </w:r>
          </w:p>
        </w:tc>
      </w:tr>
    </w:tbl>
    <w:p w14:paraId="06B10843" w14:textId="77777777" w:rsidR="009539C7" w:rsidRPr="00BA4A4E" w:rsidRDefault="009539C7" w:rsidP="003A644C">
      <w:pPr>
        <w:rPr>
          <w:lang w:val="it-IT"/>
        </w:rPr>
      </w:pPr>
    </w:p>
    <w:p w14:paraId="5096A42B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Tempo di essiccazione per la versione carteggiabile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755"/>
        <w:gridCol w:w="3171"/>
        <w:gridCol w:w="1674"/>
        <w:gridCol w:w="3254"/>
      </w:tblGrid>
      <w:tr w:rsidR="009539C7" w:rsidRPr="008602A6" w14:paraId="6AF8D144" w14:textId="77777777">
        <w:tc>
          <w:tcPr>
            <w:tcW w:w="1755" w:type="dxa"/>
            <w:tcBorders>
              <w:left w:val="nil"/>
              <w:right w:val="nil"/>
            </w:tcBorders>
          </w:tcPr>
          <w:p w14:paraId="3E24D771" w14:textId="77777777" w:rsidR="009539C7" w:rsidRDefault="00D410EC" w:rsidP="003A644C">
            <w:pPr>
              <w:rPr>
                <w:b/>
                <w:bCs/>
                <w:color w:val="0000FF"/>
              </w:rPr>
            </w:pPr>
            <w:r>
              <w:rPr>
                <w:noProof/>
              </w:rPr>
              <w:drawing>
                <wp:inline distT="0" distB="0" distL="114300" distR="114300" wp14:anchorId="121DE542" wp14:editId="1FF0D831">
                  <wp:extent cx="912495" cy="930910"/>
                  <wp:effectExtent l="0" t="0" r="1905" b="2540"/>
                  <wp:docPr id="186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247"/>
                          <a:srcRect r="63295" b="5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495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1" w:type="dxa"/>
            <w:tcBorders>
              <w:left w:val="nil"/>
              <w:right w:val="nil"/>
            </w:tcBorders>
          </w:tcPr>
          <w:p w14:paraId="2669F16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4–6 ore a 23°C</w:t>
            </w:r>
          </w:p>
          <w:p w14:paraId="495DDC3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30–60 minuti a 60°C</w:t>
            </w:r>
          </w:p>
          <w:p w14:paraId="30D64336" w14:textId="77777777" w:rsidR="009539C7" w:rsidRDefault="00D410EC" w:rsidP="003A644C">
            <w:pPr>
              <w:rPr>
                <w:b/>
                <w:bCs/>
                <w:color w:val="0000FF"/>
                <w:lang w:val="it-IT"/>
              </w:rPr>
            </w:pPr>
            <w:r>
              <w:rPr>
                <w:lang w:val="it-IT"/>
              </w:rPr>
              <w:t>Il tempo di essiccazione dipende dall’applicazione (2 mani) e dalla temperatura del manufatto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26DD338E" w14:textId="77777777" w:rsidR="009539C7" w:rsidRDefault="00D410EC" w:rsidP="003A644C">
            <w:pPr>
              <w:rPr>
                <w:b/>
                <w:bCs/>
                <w:color w:val="0000FF"/>
              </w:rPr>
            </w:pPr>
            <w:r>
              <w:rPr>
                <w:noProof/>
              </w:rPr>
              <w:drawing>
                <wp:inline distT="0" distB="0" distL="114300" distR="114300" wp14:anchorId="75A280A7" wp14:editId="762E70FD">
                  <wp:extent cx="927100" cy="881380"/>
                  <wp:effectExtent l="0" t="0" r="6350" b="13970"/>
                  <wp:docPr id="187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248"/>
                          <a:srcRect r="67228" b="5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14:paraId="0F0F864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Prima dell’essiccazione IR, è richiesto un appassimento di almeno</w:t>
            </w:r>
          </w:p>
          <w:p w14:paraId="619E6A3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5 minuti.</w:t>
            </w:r>
          </w:p>
          <w:p w14:paraId="155EA551" w14:textId="77777777" w:rsidR="009539C7" w:rsidRDefault="00D410EC" w:rsidP="003A644C">
            <w:pPr>
              <w:rPr>
                <w:b/>
                <w:bCs/>
                <w:color w:val="0000FF"/>
                <w:lang w:val="it-IT"/>
              </w:rPr>
            </w:pPr>
            <w:r>
              <w:rPr>
                <w:lang w:val="it-IT"/>
              </w:rPr>
              <w:t>La temperatura della superficie non deve superare 100°C.</w:t>
            </w:r>
          </w:p>
        </w:tc>
      </w:tr>
    </w:tbl>
    <w:p w14:paraId="66810A6C" w14:textId="77777777" w:rsidR="009539C7" w:rsidRDefault="009539C7" w:rsidP="003A644C">
      <w:pPr>
        <w:rPr>
          <w:b/>
          <w:bCs/>
          <w:color w:val="0000FF"/>
          <w:lang w:val="it-IT"/>
        </w:rPr>
      </w:pPr>
    </w:p>
    <w:p w14:paraId="7F79C0A6" w14:textId="77777777" w:rsidR="009539C7" w:rsidRDefault="009539C7" w:rsidP="003A644C">
      <w:pPr>
        <w:rPr>
          <w:lang w:val="it-IT"/>
        </w:rPr>
      </w:pPr>
    </w:p>
    <w:p w14:paraId="7CE0A453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Appassimento per la versione non carteggiabile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30"/>
        <w:gridCol w:w="7908"/>
      </w:tblGrid>
      <w:tr w:rsidR="009539C7" w:rsidRPr="008602A6" w14:paraId="067F1845" w14:textId="77777777">
        <w:tc>
          <w:tcPr>
            <w:tcW w:w="1740" w:type="dxa"/>
            <w:tcBorders>
              <w:left w:val="nil"/>
              <w:right w:val="nil"/>
            </w:tcBorders>
          </w:tcPr>
          <w:p w14:paraId="510D0674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EB19085" wp14:editId="2D022CD6">
                  <wp:extent cx="762000" cy="771525"/>
                  <wp:effectExtent l="0" t="0" r="0" b="9525"/>
                  <wp:docPr id="18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4" w:type="dxa"/>
            <w:tcBorders>
              <w:left w:val="nil"/>
              <w:right w:val="nil"/>
            </w:tcBorders>
          </w:tcPr>
          <w:p w14:paraId="7BBD652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Appassire prima di applicare lo smalto per almeno 30 minuti a 20°C e non oltre 5 ore a 20°C.</w:t>
            </w:r>
          </w:p>
          <w:p w14:paraId="2BDF9C22" w14:textId="77777777" w:rsidR="009539C7" w:rsidRDefault="009539C7" w:rsidP="003A644C">
            <w:pPr>
              <w:rPr>
                <w:lang w:val="it-IT"/>
              </w:rPr>
            </w:pPr>
          </w:p>
          <w:p w14:paraId="3C75991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Se il tempo di appassimento viene superato, la superficie può essere trattata con abrasivo P500 per carteggiatura a secco e P1000 per carteggiatura a umido.</w:t>
            </w:r>
          </w:p>
        </w:tc>
      </w:tr>
    </w:tbl>
    <w:p w14:paraId="54D2CDC8" w14:textId="77777777" w:rsidR="009539C7" w:rsidRDefault="009539C7" w:rsidP="003A644C">
      <w:pPr>
        <w:rPr>
          <w:lang w:val="it-IT"/>
        </w:rPr>
      </w:pPr>
    </w:p>
    <w:p w14:paraId="362D4CC5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p w14:paraId="02E6F69D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lastRenderedPageBreak/>
        <w:t>Rimozione difetti (versione non carteggiabile)</w:t>
      </w:r>
    </w:p>
    <w:p w14:paraId="718F9EBA" w14:textId="77777777" w:rsidR="009539C7" w:rsidRDefault="00D410EC" w:rsidP="003A644C">
      <w:pPr>
        <w:rPr>
          <w:lang w:val="it-IT"/>
        </w:rPr>
      </w:pPr>
      <w:r>
        <w:rPr>
          <w:lang w:val="it-IT"/>
        </w:rPr>
        <w:t>In caso di piccoli difetti di applicazione (sporchini, ecc.), il primer epossidico può essere trattato con abrasivo P500 per carteggiatura a secco e P1000 per carteggiatura a umido.</w:t>
      </w:r>
    </w:p>
    <w:p w14:paraId="2DC94088" w14:textId="77777777" w:rsidR="009539C7" w:rsidRDefault="009539C7" w:rsidP="003A644C">
      <w:pPr>
        <w:rPr>
          <w:lang w:val="it-IT"/>
        </w:rPr>
      </w:pPr>
    </w:p>
    <w:p w14:paraId="1CBD6EA9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Carteggiatura</w:t>
      </w:r>
      <w:proofErr w:type="spellEnd"/>
      <w:r>
        <w:rPr>
          <w:b/>
          <w:bCs/>
          <w:color w:val="0000FF"/>
        </w:rPr>
        <w:t xml:space="preserve"> finale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29"/>
        <w:gridCol w:w="7209"/>
      </w:tblGrid>
      <w:tr w:rsidR="009539C7" w:rsidRPr="008602A6" w14:paraId="5FFF6A0C" w14:textId="77777777">
        <w:tc>
          <w:tcPr>
            <w:tcW w:w="2429" w:type="dxa"/>
            <w:tcBorders>
              <w:left w:val="nil"/>
              <w:right w:val="nil"/>
            </w:tcBorders>
          </w:tcPr>
          <w:p w14:paraId="2A4B0749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77EE495" wp14:editId="6A1415F9">
                  <wp:extent cx="771525" cy="800100"/>
                  <wp:effectExtent l="0" t="0" r="9525" b="0"/>
                  <wp:docPr id="191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9" w:type="dxa"/>
            <w:tcBorders>
              <w:left w:val="nil"/>
              <w:right w:val="nil"/>
            </w:tcBorders>
          </w:tcPr>
          <w:p w14:paraId="1B6356B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Passo finale di carteggiatura con P500</w:t>
            </w:r>
          </w:p>
          <w:p w14:paraId="4D0239C4" w14:textId="77777777" w:rsidR="009539C7" w:rsidRDefault="00D410EC" w:rsidP="003A644C">
            <w:pPr>
              <w:rPr>
                <w:lang w:val="it-IT"/>
              </w:rPr>
            </w:pPr>
            <w:r>
              <w:rPr>
                <w:rFonts w:hint="eastAsia"/>
                <w:lang w:val="it-IT"/>
              </w:rPr>
              <w:t xml:space="preserve">Il passo iniziale di carteggiatura </w:t>
            </w:r>
            <w:proofErr w:type="spellStart"/>
            <w:r>
              <w:rPr>
                <w:rFonts w:hint="eastAsia"/>
                <w:lang w:val="it-IT"/>
              </w:rPr>
              <w:t>pu</w:t>
            </w:r>
            <w:proofErr w:type="spellEnd"/>
            <w:r>
              <w:rPr>
                <w:rFonts w:hint="eastAsia"/>
                <w:lang w:val="it-IT"/>
              </w:rPr>
              <w:t>ò</w:t>
            </w:r>
            <w:r>
              <w:rPr>
                <w:rFonts w:hint="eastAsia"/>
                <w:lang w:val="it-IT"/>
              </w:rPr>
              <w:t xml:space="preserve"> essere eseguito con P220</w:t>
            </w:r>
            <w:r>
              <w:rPr>
                <w:rFonts w:hint="eastAsia"/>
                <w:lang w:val="it-IT"/>
              </w:rPr>
              <w:t>–</w:t>
            </w:r>
            <w:r>
              <w:rPr>
                <w:rFonts w:hint="eastAsia"/>
                <w:lang w:val="it-IT"/>
              </w:rPr>
              <w:t>P320</w:t>
            </w:r>
          </w:p>
          <w:p w14:paraId="696EF02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Il rispetto di un incremento di 100 unità di grana è obbligatorio per il miglior risultato di carteggiatura.</w:t>
            </w:r>
          </w:p>
        </w:tc>
      </w:tr>
      <w:tr w:rsidR="009539C7" w:rsidRPr="008602A6" w14:paraId="7F0D3BA4" w14:textId="77777777">
        <w:tc>
          <w:tcPr>
            <w:tcW w:w="2429" w:type="dxa"/>
            <w:tcBorders>
              <w:left w:val="nil"/>
              <w:right w:val="nil"/>
            </w:tcBorders>
          </w:tcPr>
          <w:p w14:paraId="64942772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F9BD63D" wp14:editId="3876A167">
                  <wp:extent cx="790575" cy="781050"/>
                  <wp:effectExtent l="0" t="0" r="9525" b="0"/>
                  <wp:docPr id="192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9" w:type="dxa"/>
            <w:tcBorders>
              <w:left w:val="nil"/>
              <w:right w:val="nil"/>
            </w:tcBorders>
          </w:tcPr>
          <w:p w14:paraId="22BA3F7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Passo finale di carteggiatura con P1000</w:t>
            </w:r>
          </w:p>
          <w:p w14:paraId="5E22A102" w14:textId="77777777" w:rsidR="009539C7" w:rsidRDefault="00D410EC" w:rsidP="003A644C">
            <w:pPr>
              <w:rPr>
                <w:lang w:val="it-IT"/>
              </w:rPr>
            </w:pPr>
            <w:r>
              <w:rPr>
                <w:rFonts w:hint="eastAsia"/>
                <w:lang w:val="it-IT"/>
              </w:rPr>
              <w:t xml:space="preserve">Il passo iniziale di carteggiatura </w:t>
            </w:r>
            <w:proofErr w:type="spellStart"/>
            <w:r>
              <w:rPr>
                <w:rFonts w:hint="eastAsia"/>
                <w:lang w:val="it-IT"/>
              </w:rPr>
              <w:t>pu</w:t>
            </w:r>
            <w:proofErr w:type="spellEnd"/>
            <w:r>
              <w:rPr>
                <w:rFonts w:hint="eastAsia"/>
                <w:lang w:val="it-IT"/>
              </w:rPr>
              <w:t>ò</w:t>
            </w:r>
            <w:r>
              <w:rPr>
                <w:rFonts w:hint="eastAsia"/>
                <w:lang w:val="it-IT"/>
              </w:rPr>
              <w:t xml:space="preserve"> essere eseguito con P600</w:t>
            </w:r>
            <w:r>
              <w:rPr>
                <w:rFonts w:hint="eastAsia"/>
                <w:lang w:val="it-IT"/>
              </w:rPr>
              <w:t>–</w:t>
            </w:r>
            <w:r>
              <w:rPr>
                <w:rFonts w:hint="eastAsia"/>
                <w:lang w:val="it-IT"/>
              </w:rPr>
              <w:t>P800</w:t>
            </w:r>
          </w:p>
          <w:p w14:paraId="7187BA91" w14:textId="77777777" w:rsidR="009539C7" w:rsidRDefault="00D410EC" w:rsidP="003A644C">
            <w:pPr>
              <w:rPr>
                <w:lang w:val="it-IT"/>
              </w:rPr>
            </w:pPr>
            <w:r>
              <w:rPr>
                <w:rFonts w:hint="eastAsia"/>
                <w:lang w:val="it-IT"/>
              </w:rPr>
              <w:t xml:space="preserve">Il rispetto di un incremento di 200 </w:t>
            </w:r>
            <w:proofErr w:type="spellStart"/>
            <w:r>
              <w:rPr>
                <w:rFonts w:hint="eastAsia"/>
                <w:lang w:val="it-IT"/>
              </w:rPr>
              <w:t>unit</w:t>
            </w:r>
            <w:proofErr w:type="spellEnd"/>
            <w:r>
              <w:rPr>
                <w:rFonts w:hint="eastAsia"/>
                <w:lang w:val="it-IT"/>
              </w:rPr>
              <w:t>à</w:t>
            </w:r>
            <w:r>
              <w:rPr>
                <w:rFonts w:hint="eastAsia"/>
                <w:lang w:val="it-IT"/>
              </w:rPr>
              <w:t xml:space="preserve"> di grana </w:t>
            </w:r>
            <w:r>
              <w:rPr>
                <w:rFonts w:hint="eastAsia"/>
                <w:lang w:val="it-IT"/>
              </w:rPr>
              <w:t>è</w:t>
            </w:r>
            <w:r>
              <w:rPr>
                <w:rFonts w:hint="eastAsia"/>
                <w:lang w:val="it-IT"/>
              </w:rPr>
              <w:t xml:space="preserve"> obbligatorio per il miglior risultato di carteggiatura.</w:t>
            </w:r>
          </w:p>
        </w:tc>
      </w:tr>
      <w:tr w:rsidR="009539C7" w:rsidRPr="008602A6" w14:paraId="16ABBF1F" w14:textId="77777777">
        <w:tc>
          <w:tcPr>
            <w:tcW w:w="2429" w:type="dxa"/>
            <w:tcBorders>
              <w:left w:val="nil"/>
              <w:right w:val="nil"/>
            </w:tcBorders>
          </w:tcPr>
          <w:p w14:paraId="39B6033B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A1AAB95" wp14:editId="2C3551B1">
                  <wp:extent cx="781050" cy="828675"/>
                  <wp:effectExtent l="0" t="0" r="0" b="9525"/>
                  <wp:docPr id="193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9" w:type="dxa"/>
            <w:tcBorders>
              <w:left w:val="nil"/>
              <w:right w:val="nil"/>
            </w:tcBorders>
          </w:tcPr>
          <w:p w14:paraId="16A6C3A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superficie: rimuovere tutti i contaminanti dalla superficie prima di applicare gli smalti con uno sgrassante idoneo.</w:t>
            </w:r>
          </w:p>
        </w:tc>
      </w:tr>
    </w:tbl>
    <w:p w14:paraId="55CFD49D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Rivestimento successivo</w:t>
      </w:r>
    </w:p>
    <w:p w14:paraId="211C6866" w14:textId="77777777" w:rsidR="009539C7" w:rsidRDefault="00D410EC" w:rsidP="003A644C">
      <w:pPr>
        <w:rPr>
          <w:lang w:val="it-IT"/>
        </w:rPr>
      </w:pPr>
      <w:r>
        <w:rPr>
          <w:lang w:val="it-IT"/>
        </w:rPr>
        <w:t>Smalto acrilico 2K</w:t>
      </w:r>
    </w:p>
    <w:p w14:paraId="59DDD0F8" w14:textId="77777777" w:rsidR="009539C7" w:rsidRDefault="00D410EC" w:rsidP="003A644C">
      <w:pPr>
        <w:rPr>
          <w:lang w:val="it-IT"/>
        </w:rPr>
      </w:pPr>
      <w:r>
        <w:rPr>
          <w:lang w:val="it-IT"/>
        </w:rPr>
        <w:t>Base Opaca 1K</w:t>
      </w:r>
    </w:p>
    <w:p w14:paraId="2DA6919D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Tutti i fondi riempitivi </w:t>
      </w:r>
      <w:proofErr w:type="spellStart"/>
      <w:r>
        <w:rPr>
          <w:lang w:val="it-IT"/>
        </w:rPr>
        <w:t>Perfecoat</w:t>
      </w:r>
      <w:proofErr w:type="spellEnd"/>
    </w:p>
    <w:p w14:paraId="6A2CED81" w14:textId="77777777" w:rsidR="009539C7" w:rsidRDefault="009539C7" w:rsidP="003A644C">
      <w:pPr>
        <w:rPr>
          <w:lang w:val="it-IT"/>
        </w:rPr>
      </w:pPr>
    </w:p>
    <w:p w14:paraId="58A053EA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Spessore del film</w:t>
      </w:r>
    </w:p>
    <w:p w14:paraId="19C020FC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Versione carteggiabile Per mano: 30–35 </w:t>
      </w:r>
      <w:r>
        <w:t>μ</w:t>
      </w:r>
      <w:r>
        <w:rPr>
          <w:lang w:val="it-IT"/>
        </w:rPr>
        <w:t>m</w:t>
      </w:r>
    </w:p>
    <w:p w14:paraId="7ABE2960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Versione non carteggiabile (1 mano): 12–15 </w:t>
      </w:r>
      <w:r>
        <w:t>μ</w:t>
      </w:r>
      <w:r>
        <w:rPr>
          <w:lang w:val="it-IT"/>
        </w:rPr>
        <w:t>m</w:t>
      </w:r>
    </w:p>
    <w:p w14:paraId="6C46532A" w14:textId="77777777" w:rsidR="009539C7" w:rsidRDefault="009539C7" w:rsidP="003A644C">
      <w:pPr>
        <w:rPr>
          <w:lang w:val="it-IT"/>
        </w:rPr>
      </w:pPr>
    </w:p>
    <w:p w14:paraId="60F165DF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Pulizia dell’attrezzatura</w:t>
      </w:r>
    </w:p>
    <w:p w14:paraId="27DE0058" w14:textId="77777777" w:rsidR="009539C7" w:rsidRDefault="00D410EC" w:rsidP="003A644C">
      <w:pPr>
        <w:rPr>
          <w:lang w:val="it-IT"/>
        </w:rPr>
      </w:pPr>
      <w:r>
        <w:rPr>
          <w:lang w:val="it-IT"/>
        </w:rPr>
        <w:t>Pulizia dell’attrezzatura</w:t>
      </w:r>
    </w:p>
    <w:p w14:paraId="0ABFEBC4" w14:textId="77777777" w:rsidR="009539C7" w:rsidRDefault="009539C7" w:rsidP="003A644C">
      <w:pPr>
        <w:rPr>
          <w:lang w:val="it-IT"/>
        </w:rPr>
      </w:pPr>
    </w:p>
    <w:p w14:paraId="7FC46FBA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COV (Composti Organici Volatili)</w:t>
      </w:r>
    </w:p>
    <w:p w14:paraId="2DFF353F" w14:textId="77777777" w:rsidR="009539C7" w:rsidRDefault="00D410EC" w:rsidP="003A644C">
      <w:pPr>
        <w:rPr>
          <w:lang w:val="it-IT"/>
        </w:rPr>
      </w:pPr>
      <w:r>
        <w:rPr>
          <w:lang w:val="it-IT"/>
        </w:rPr>
        <w:t>Il parametro COV di questo prodotto nella miscela pronta all'uso non supera i 560 g/L</w:t>
      </w:r>
    </w:p>
    <w:p w14:paraId="32AA8356" w14:textId="77777777" w:rsidR="009539C7" w:rsidRDefault="009539C7" w:rsidP="003A644C">
      <w:pPr>
        <w:rPr>
          <w:lang w:val="it-IT"/>
        </w:rPr>
      </w:pPr>
    </w:p>
    <w:p w14:paraId="527D3EBA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Stoccaggio</w:t>
      </w:r>
    </w:p>
    <w:p w14:paraId="29DC4029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durata di conservazione è di 2 anni in contenitori non aperti a 5–35°C.</w:t>
      </w:r>
    </w:p>
    <w:p w14:paraId="01962F87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durata di conservazione del prodotto è definita per imballo non aperto a 20°C.</w:t>
      </w:r>
    </w:p>
    <w:p w14:paraId="79A9FE38" w14:textId="77777777" w:rsidR="009539C7" w:rsidRDefault="00D410EC" w:rsidP="003A644C">
      <w:pPr>
        <w:rPr>
          <w:lang w:val="it-IT"/>
        </w:rPr>
      </w:pPr>
      <w:r>
        <w:rPr>
          <w:lang w:val="it-IT"/>
        </w:rPr>
        <w:t>Evitare ampie fluttuazioni di temperatura.</w:t>
      </w:r>
    </w:p>
    <w:p w14:paraId="098AA2AF" w14:textId="77777777" w:rsidR="009539C7" w:rsidRDefault="009539C7" w:rsidP="003A644C">
      <w:pPr>
        <w:rPr>
          <w:lang w:val="it-IT"/>
        </w:rPr>
      </w:pPr>
    </w:p>
    <w:p w14:paraId="268FC7A7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br w:type="page"/>
      </w: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226" Type="http://schemas.openxmlformats.org/officeDocument/2006/relationships/image" Target="media/image218.png"/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237" Type="http://schemas.openxmlformats.org/officeDocument/2006/relationships/image" Target="media/image229.png"/><Relationship Id="rId248" Type="http://schemas.openxmlformats.org/officeDocument/2006/relationships/image" Target="media/image240.png"/><Relationship Id="rId228" Type="http://schemas.openxmlformats.org/officeDocument/2006/relationships/image" Target="media/image220.png"/><Relationship Id="rId7" Type="http://schemas.openxmlformats.org/officeDocument/2006/relationships/footnotes" Target="footnotes.xml"/><Relationship Id="rId239" Type="http://schemas.openxmlformats.org/officeDocument/2006/relationships/image" Target="media/image231.png"/><Relationship Id="rId250" Type="http://schemas.openxmlformats.org/officeDocument/2006/relationships/image" Target="media/image242.png"/><Relationship Id="rId230" Type="http://schemas.openxmlformats.org/officeDocument/2006/relationships/image" Target="media/image222.png"/><Relationship Id="rId241" Type="http://schemas.openxmlformats.org/officeDocument/2006/relationships/image" Target="media/image233.png"/><Relationship Id="rId231" Type="http://schemas.openxmlformats.org/officeDocument/2006/relationships/image" Target="media/image223.png"/><Relationship Id="rId252" Type="http://schemas.openxmlformats.org/officeDocument/2006/relationships/image" Target="media/image244.png"/><Relationship Id="rId242" Type="http://schemas.openxmlformats.org/officeDocument/2006/relationships/image" Target="media/image234.png"/><Relationship Id="rId232" Type="http://schemas.openxmlformats.org/officeDocument/2006/relationships/image" Target="media/image224.png"/><Relationship Id="rId243" Type="http://schemas.openxmlformats.org/officeDocument/2006/relationships/image" Target="media/image235.png"/><Relationship Id="rId1" Type="http://schemas.openxmlformats.org/officeDocument/2006/relationships/customXml" Target="../customXml/item1.xml"/><Relationship Id="rId233" Type="http://schemas.openxmlformats.org/officeDocument/2006/relationships/image" Target="media/image225.png"/><Relationship Id="rId244" Type="http://schemas.openxmlformats.org/officeDocument/2006/relationships/image" Target="media/image236.png"/><Relationship Id="rId234" Type="http://schemas.openxmlformats.org/officeDocument/2006/relationships/image" Target="media/image226.png"/><Relationship Id="rId2" Type="http://schemas.openxmlformats.org/officeDocument/2006/relationships/customXml" Target="../customXml/item2.xml"/><Relationship Id="rId245" Type="http://schemas.openxmlformats.org/officeDocument/2006/relationships/image" Target="media/image237.png"/><Relationship Id="rId3" Type="http://schemas.openxmlformats.org/officeDocument/2006/relationships/numbering" Target="numbering.xml"/><Relationship Id="rId235" Type="http://schemas.openxmlformats.org/officeDocument/2006/relationships/image" Target="media/image227.png"/><Relationship Id="rId246" Type="http://schemas.openxmlformats.org/officeDocument/2006/relationships/image" Target="media/image238.png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236" Type="http://schemas.openxmlformats.org/officeDocument/2006/relationships/image" Target="media/image228.png"/><Relationship Id="rId247" Type="http://schemas.openxmlformats.org/officeDocument/2006/relationships/image" Target="media/image239.png"/><Relationship Id="rId227" Type="http://schemas.openxmlformats.org/officeDocument/2006/relationships/image" Target="media/image219.png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238" Type="http://schemas.openxmlformats.org/officeDocument/2006/relationships/image" Target="media/image230.png"/><Relationship Id="rId249" Type="http://schemas.openxmlformats.org/officeDocument/2006/relationships/image" Target="media/image241.png"/><Relationship Id="rId229" Type="http://schemas.openxmlformats.org/officeDocument/2006/relationships/image" Target="media/image221.png"/><Relationship Id="rId240" Type="http://schemas.openxmlformats.org/officeDocument/2006/relationships/image" Target="media/image232.png"/><Relationship Id="rId8" Type="http://schemas.openxmlformats.org/officeDocument/2006/relationships/endnotes" Target="endnotes.xml"/><Relationship Id="rId251" Type="http://schemas.openxmlformats.org/officeDocument/2006/relationships/image" Target="media/image24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