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FFEB2" w14:textId="77777777" w:rsidR="009539C7" w:rsidRDefault="00D410EC" w:rsidP="00DB6FEE">
      <w:pPr>
        <w:pStyle w:val="Titolo"/>
        <w:rPr>
          <w:lang w:val="it-IT"/>
        </w:rPr>
      </w:pPr>
      <w:r>
        <w:rPr>
          <w:lang w:val="it-IT"/>
        </w:rPr>
        <w:lastRenderedPageBreak/>
        <w:t>PC-10 Primer per Plastica</w:t>
      </w:r>
    </w:p>
    <w:p w14:paraId="0C0AC1A4" w14:textId="77777777" w:rsidR="009539C7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b/>
          <w:bCs/>
          <w:color w:val="0000FF"/>
          <w:sz w:val="28"/>
          <w:szCs w:val="36"/>
          <w:lang w:val="it-IT"/>
        </w:rPr>
        <w:t>(Primer di Adesione per Plastica)</w:t>
      </w:r>
    </w:p>
    <w:p w14:paraId="13B3754A" w14:textId="77777777" w:rsidR="009539C7" w:rsidRDefault="009539C7" w:rsidP="003A644C">
      <w:pPr>
        <w:rPr>
          <w:lang w:val="it-IT"/>
        </w:rPr>
      </w:pPr>
    </w:p>
    <w:p w14:paraId="66A76103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4"/>
        <w:gridCol w:w="7584"/>
      </w:tblGrid>
      <w:tr w:rsidR="009539C7" w:rsidRPr="008602A6" w14:paraId="304C1EFF" w14:textId="77777777">
        <w:tc>
          <w:tcPr>
            <w:tcW w:w="2077" w:type="dxa"/>
            <w:tcBorders>
              <w:tl2br w:val="nil"/>
              <w:tr2bl w:val="nil"/>
            </w:tcBorders>
          </w:tcPr>
          <w:p w14:paraId="3E4194B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66CD84B" wp14:editId="78B2B419">
                  <wp:extent cx="718185" cy="1159510"/>
                  <wp:effectExtent l="0" t="0" r="5715" b="2540"/>
                  <wp:docPr id="1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11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  <w:tcBorders>
              <w:tl2br w:val="nil"/>
              <w:tr2bl w:val="nil"/>
            </w:tcBorders>
          </w:tcPr>
          <w:p w14:paraId="74F32E8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Primer di adesione monocomponente a essiccazione rapida utilizzato per la verniciatura di particolari automobilistici in plastica.</w:t>
            </w:r>
          </w:p>
        </w:tc>
      </w:tr>
    </w:tbl>
    <w:p w14:paraId="734DFA85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96"/>
        <w:gridCol w:w="2900"/>
        <w:gridCol w:w="1626"/>
        <w:gridCol w:w="3206"/>
      </w:tblGrid>
      <w:tr w:rsidR="009539C7" w14:paraId="64C05744" w14:textId="77777777">
        <w:tc>
          <w:tcPr>
            <w:tcW w:w="1902" w:type="dxa"/>
          </w:tcPr>
          <w:p w14:paraId="1190B103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AB410C6" wp14:editId="68F47922">
                  <wp:extent cx="1007745" cy="949960"/>
                  <wp:effectExtent l="0" t="0" r="1905" b="2540"/>
                  <wp:docPr id="1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203"/>
                          <a:srcRect r="61245" b="6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</w:tcPr>
          <w:p w14:paraId="76E37AC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Pistola a spruzzo: 1,2–1,4 mm</w:t>
            </w:r>
          </w:p>
          <w:p w14:paraId="0FE946F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Pressione di applicazione:</w:t>
            </w:r>
          </w:p>
          <w:p w14:paraId="03530C6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1,7–2,2 bar all’ingresso</w:t>
            </w:r>
          </w:p>
          <w:p w14:paraId="240E98A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HVLP max 0,6–0,7 bar alla calotta d’aria</w:t>
            </w:r>
          </w:p>
        </w:tc>
        <w:tc>
          <w:tcPr>
            <w:tcW w:w="1626" w:type="dxa"/>
          </w:tcPr>
          <w:p w14:paraId="5F02964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5D7FB46" wp14:editId="49CF71D0">
                  <wp:extent cx="831850" cy="810895"/>
                  <wp:effectExtent l="0" t="0" r="6350" b="8255"/>
                  <wp:docPr id="1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204"/>
                          <a:srcRect r="64556" b="-2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</w:tcPr>
          <w:p w14:paraId="014C3CAD" w14:textId="77777777" w:rsidR="009539C7" w:rsidRDefault="00D410EC" w:rsidP="003A644C">
            <w:r>
              <w:t xml:space="preserve">1 mano / </w:t>
            </w:r>
            <w:proofErr w:type="spellStart"/>
            <w:r>
              <w:t>spessore</w:t>
            </w:r>
            <w:proofErr w:type="spellEnd"/>
            <w:r>
              <w:t xml:space="preserve"> 4–5 </w:t>
            </w:r>
            <w:proofErr w:type="spellStart"/>
            <w:r>
              <w:t>μm</w:t>
            </w:r>
            <w:proofErr w:type="spellEnd"/>
          </w:p>
        </w:tc>
      </w:tr>
      <w:tr w:rsidR="009539C7" w14:paraId="04D3263A" w14:textId="77777777">
        <w:tc>
          <w:tcPr>
            <w:tcW w:w="1902" w:type="dxa"/>
          </w:tcPr>
          <w:p w14:paraId="41E0C22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64E1A0C" wp14:editId="6D49FDE5">
                  <wp:extent cx="855345" cy="1000760"/>
                  <wp:effectExtent l="0" t="0" r="1905" b="8890"/>
                  <wp:docPr id="1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205"/>
                          <a:srcRect r="67698" b="5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345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</w:tcPr>
          <w:p w14:paraId="6685B13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Appassimento per il rivestimento successivo</w:t>
            </w:r>
          </w:p>
          <w:p w14:paraId="31ECF475" w14:textId="77777777" w:rsidR="009539C7" w:rsidRDefault="009539C7" w:rsidP="003A644C">
            <w:pPr>
              <w:rPr>
                <w:lang w:val="it-IT"/>
              </w:rPr>
            </w:pPr>
          </w:p>
          <w:p w14:paraId="6A6B060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Tempo aperto</w:t>
            </w:r>
          </w:p>
          <w:p w14:paraId="26D3B029" w14:textId="77777777" w:rsidR="009539C7" w:rsidRDefault="00D410EC" w:rsidP="003A644C">
            <w:r>
              <w:t>Massimo 1 ora a 20°C</w:t>
            </w:r>
          </w:p>
        </w:tc>
        <w:tc>
          <w:tcPr>
            <w:tcW w:w="1626" w:type="dxa"/>
          </w:tcPr>
          <w:p w14:paraId="2219D86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A9E3B98" wp14:editId="3361045F">
                  <wp:extent cx="889000" cy="975995"/>
                  <wp:effectExtent l="0" t="0" r="6350" b="14605"/>
                  <wp:docPr id="1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206"/>
                          <a:srcRect r="65483" b="-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</w:tcPr>
          <w:p w14:paraId="548FDA8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Rivestimenti successivi</w:t>
            </w:r>
          </w:p>
          <w:p w14:paraId="2DBE871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Tutti i fondi riempitivi </w:t>
            </w:r>
            <w:proofErr w:type="spellStart"/>
            <w:r>
              <w:rPr>
                <w:lang w:val="it-IT"/>
              </w:rPr>
              <w:t>Perfecoat</w:t>
            </w:r>
            <w:proofErr w:type="spellEnd"/>
            <w:r>
              <w:rPr>
                <w:lang w:val="it-IT"/>
              </w:rPr>
              <w:t>.</w:t>
            </w:r>
          </w:p>
          <w:p w14:paraId="015068DA" w14:textId="77777777" w:rsidR="009539C7" w:rsidRDefault="00D410EC" w:rsidP="003A644C">
            <w:r>
              <w:t xml:space="preserve">Smalti e </w:t>
            </w:r>
            <w:proofErr w:type="spellStart"/>
            <w:r>
              <w:t>basi</w:t>
            </w:r>
            <w:proofErr w:type="spellEnd"/>
            <w:r>
              <w:t xml:space="preserve"> </w:t>
            </w:r>
            <w:proofErr w:type="spellStart"/>
            <w:r>
              <w:t>acriliche</w:t>
            </w:r>
            <w:proofErr w:type="spellEnd"/>
            <w:r>
              <w:t>.</w:t>
            </w:r>
          </w:p>
        </w:tc>
      </w:tr>
      <w:tr w:rsidR="009539C7" w14:paraId="651F9F18" w14:textId="77777777">
        <w:tc>
          <w:tcPr>
            <w:tcW w:w="1902" w:type="dxa"/>
          </w:tcPr>
          <w:p w14:paraId="336E26EF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2BF1754C" wp14:editId="692DB4B5">
                  <wp:extent cx="760095" cy="950595"/>
                  <wp:effectExtent l="0" t="0" r="1905" b="1905"/>
                  <wp:docPr id="1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207"/>
                          <a:srcRect r="66925" b="2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</w:tcPr>
          <w:p w14:paraId="23D87613" w14:textId="77777777" w:rsidR="009539C7" w:rsidRDefault="00D410EC" w:rsidP="003A644C">
            <w:proofErr w:type="spellStart"/>
            <w:r>
              <w:t>Usare</w:t>
            </w:r>
            <w:proofErr w:type="spellEnd"/>
            <w:r>
              <w:t xml:space="preserve"> un </w:t>
            </w:r>
            <w:proofErr w:type="spellStart"/>
            <w:r>
              <w:t>respiratore</w:t>
            </w:r>
            <w:proofErr w:type="spellEnd"/>
            <w:r>
              <w:t xml:space="preserve"> </w:t>
            </w:r>
            <w:proofErr w:type="spellStart"/>
            <w:r>
              <w:t>appropriato</w:t>
            </w:r>
            <w:proofErr w:type="spellEnd"/>
          </w:p>
        </w:tc>
        <w:tc>
          <w:tcPr>
            <w:tcW w:w="1626" w:type="dxa"/>
          </w:tcPr>
          <w:p w14:paraId="423689E3" w14:textId="77777777" w:rsidR="009539C7" w:rsidRDefault="009539C7" w:rsidP="003A644C"/>
        </w:tc>
        <w:tc>
          <w:tcPr>
            <w:tcW w:w="3331" w:type="dxa"/>
          </w:tcPr>
          <w:p w14:paraId="41549687" w14:textId="77777777" w:rsidR="009539C7" w:rsidRDefault="009539C7" w:rsidP="003A644C"/>
        </w:tc>
      </w:tr>
    </w:tbl>
    <w:p w14:paraId="092744B2" w14:textId="77777777" w:rsidR="009539C7" w:rsidRDefault="009539C7" w:rsidP="003A644C"/>
    <w:p w14:paraId="4283267F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Supporti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idonei</w:t>
      </w:r>
      <w:proofErr w:type="spellEnd"/>
    </w:p>
    <w:p w14:paraId="3C68BB11" w14:textId="77777777" w:rsidR="009539C7" w:rsidRDefault="00D410EC" w:rsidP="003A644C">
      <w:pPr>
        <w:rPr>
          <w:lang w:val="it-IT"/>
        </w:rPr>
      </w:pPr>
      <w:r>
        <w:rPr>
          <w:lang w:val="it-IT"/>
        </w:rPr>
        <w:t>Tutti i tipi di plastica utilizzati nella produzione di componenti automobilistici, eccetto PE puro (polietilene).</w:t>
      </w:r>
    </w:p>
    <w:p w14:paraId="18DD485B" w14:textId="77777777" w:rsidR="009539C7" w:rsidRDefault="00D410EC" w:rsidP="003A644C">
      <w:pPr>
        <w:rPr>
          <w:lang w:val="it-IT"/>
        </w:rPr>
      </w:pPr>
      <w:r>
        <w:rPr>
          <w:lang w:val="it-IT"/>
        </w:rPr>
        <w:t>PC-10 è progettato specificamente per l’applicazione su poliuretano morbido.</w:t>
      </w:r>
    </w:p>
    <w:p w14:paraId="7C2D81FA" w14:textId="77777777" w:rsidR="009539C7" w:rsidRDefault="00D410EC" w:rsidP="003A644C">
      <w:pPr>
        <w:rPr>
          <w:lang w:val="it-IT"/>
        </w:rPr>
      </w:pPr>
      <w:r>
        <w:rPr>
          <w:lang w:val="it-IT"/>
        </w:rPr>
        <w:t>Non applicare PC-10 su parti in plastica fornite con primer OEM.</w:t>
      </w:r>
    </w:p>
    <w:p w14:paraId="78E0597D" w14:textId="77777777" w:rsidR="009539C7" w:rsidRDefault="009539C7" w:rsidP="003A644C">
      <w:pPr>
        <w:rPr>
          <w:lang w:val="it-IT"/>
        </w:rPr>
      </w:pPr>
    </w:p>
    <w:p w14:paraId="51D61269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Prodotti e additivi</w:t>
      </w:r>
    </w:p>
    <w:p w14:paraId="1C8D25AE" w14:textId="77777777" w:rsidR="009539C7" w:rsidRDefault="00D410EC" w:rsidP="003A644C">
      <w:pPr>
        <w:rPr>
          <w:lang w:val="it-IT"/>
        </w:rPr>
      </w:pPr>
      <w:r>
        <w:rPr>
          <w:lang w:val="it-IT"/>
        </w:rPr>
        <w:t>PC-1 / resina poliolefinica</w:t>
      </w:r>
    </w:p>
    <w:p w14:paraId="6DEB4E63" w14:textId="77777777" w:rsidR="009539C7" w:rsidRDefault="009539C7" w:rsidP="003A644C">
      <w:pPr>
        <w:rPr>
          <w:lang w:val="it-IT"/>
        </w:rPr>
      </w:pPr>
    </w:p>
    <w:p w14:paraId="772B256C" w14:textId="77777777" w:rsidR="009539C7" w:rsidRDefault="009539C7" w:rsidP="003A644C">
      <w:pPr>
        <w:rPr>
          <w:lang w:val="it-IT"/>
        </w:rPr>
      </w:pPr>
    </w:p>
    <w:p w14:paraId="4D478B02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p w14:paraId="4CAC9F6C" w14:textId="77777777" w:rsidR="009539C7" w:rsidRDefault="00D410EC" w:rsidP="003A644C">
      <w:pPr>
        <w:rPr>
          <w:b/>
          <w:bCs/>
          <w:color w:val="0000FF"/>
          <w:sz w:val="22"/>
          <w:szCs w:val="28"/>
        </w:rPr>
      </w:pPr>
      <w:proofErr w:type="spellStart"/>
      <w:r>
        <w:rPr>
          <w:b/>
          <w:bCs/>
          <w:color w:val="0000FF"/>
          <w:sz w:val="22"/>
          <w:szCs w:val="28"/>
        </w:rPr>
        <w:lastRenderedPageBreak/>
        <w:t>Supporti</w:t>
      </w:r>
      <w:proofErr w:type="spellEnd"/>
      <w:r>
        <w:rPr>
          <w:b/>
          <w:bCs/>
          <w:color w:val="0000FF"/>
          <w:sz w:val="22"/>
          <w:szCs w:val="28"/>
        </w:rPr>
        <w:t xml:space="preserve"> </w:t>
      </w:r>
      <w:proofErr w:type="spellStart"/>
      <w:r>
        <w:rPr>
          <w:b/>
          <w:bCs/>
          <w:color w:val="0000FF"/>
          <w:sz w:val="22"/>
          <w:szCs w:val="28"/>
        </w:rPr>
        <w:t>idonei</w:t>
      </w:r>
      <w:proofErr w:type="spellEnd"/>
    </w:p>
    <w:tbl>
      <w:tblPr>
        <w:tblStyle w:val="Grigliatabella"/>
        <w:tblW w:w="985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4815"/>
        <w:gridCol w:w="1178"/>
        <w:gridCol w:w="2114"/>
      </w:tblGrid>
      <w:tr w:rsidR="009539C7" w:rsidRPr="008602A6" w14:paraId="22FFD4D2" w14:textId="77777777">
        <w:tc>
          <w:tcPr>
            <w:tcW w:w="1747" w:type="dxa"/>
            <w:tcBorders>
              <w:tl2br w:val="nil"/>
              <w:tr2bl w:val="nil"/>
            </w:tcBorders>
          </w:tcPr>
          <w:p w14:paraId="156CC7F5" w14:textId="77777777" w:rsidR="009539C7" w:rsidRDefault="009539C7" w:rsidP="003A644C"/>
          <w:p w14:paraId="093FADB1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97A6444" wp14:editId="07653662">
                  <wp:extent cx="622300" cy="629285"/>
                  <wp:effectExtent l="0" t="0" r="6350" b="18415"/>
                  <wp:docPr id="1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7" w:type="dxa"/>
            <w:gridSpan w:val="3"/>
            <w:tcBorders>
              <w:tl2br w:val="nil"/>
              <w:tr2bl w:val="nil"/>
            </w:tcBorders>
          </w:tcPr>
          <w:p w14:paraId="6AF70EC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superficie; rimuovere la contaminazione superficiale prima della carteggiatura con il metodo raccomandato utilizzando uno sgrassante. Pre-pulire la superficie con acqua tiepida; se necessario, utilizzare una spazzola per rimuovere il distaccante dalla superficie, quindi risciacquare il pezzo con abbondante acqua pulita.</w:t>
            </w:r>
          </w:p>
        </w:tc>
      </w:tr>
      <w:tr w:rsidR="009539C7" w:rsidRPr="008602A6" w14:paraId="3B4DA872" w14:textId="77777777">
        <w:tc>
          <w:tcPr>
            <w:tcW w:w="1747" w:type="dxa"/>
            <w:tcBorders>
              <w:tl2br w:val="nil"/>
              <w:tr2bl w:val="nil"/>
            </w:tcBorders>
          </w:tcPr>
          <w:p w14:paraId="4B9449F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0E4117C" wp14:editId="587FB19D">
                  <wp:extent cx="661670" cy="647700"/>
                  <wp:effectExtent l="0" t="0" r="5080" b="0"/>
                  <wp:docPr id="1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7" w:type="dxa"/>
            <w:gridSpan w:val="3"/>
            <w:tcBorders>
              <w:bottom w:val="single" w:sz="4" w:space="0" w:color="auto"/>
              <w:tl2br w:val="nil"/>
              <w:tr2bl w:val="nil"/>
            </w:tcBorders>
          </w:tcPr>
          <w:p w14:paraId="12E7569D" w14:textId="77777777" w:rsidR="009539C7" w:rsidRDefault="00D410EC" w:rsidP="003A644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Preparazione delle plastiche morbide;</w:t>
            </w:r>
          </w:p>
          <w:p w14:paraId="4FF2877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Opacizzazione della superficie utilizzando una pasta opacizzante con acqua e un materiale abrasivo non tessuto opacizzante (rosso) per plastiche rigide e (grigio) per plastiche morbide. Dopo la preparazione, rimuovere i residui di pasta con abbondante acqua.</w:t>
            </w:r>
          </w:p>
          <w:p w14:paraId="2644F166" w14:textId="77777777" w:rsidR="009539C7" w:rsidRDefault="00D410EC" w:rsidP="003A644C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Parti in plastica verniciate;</w:t>
            </w:r>
          </w:p>
          <w:p w14:paraId="3DED9CD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Carteggiatura; carteggiatura a secco, passo finale con P220–P320.</w:t>
            </w:r>
          </w:p>
          <w:p w14:paraId="5FA796B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riparazioni locali, carteggiare l’area di sfumatura con abrasivo P400.</w:t>
            </w:r>
          </w:p>
        </w:tc>
      </w:tr>
      <w:tr w:rsidR="009539C7" w:rsidRPr="008602A6" w14:paraId="6DA9B3B8" w14:textId="77777777">
        <w:tc>
          <w:tcPr>
            <w:tcW w:w="1747" w:type="dxa"/>
            <w:tcBorders>
              <w:right w:val="single" w:sz="4" w:space="0" w:color="auto"/>
              <w:tl2br w:val="nil"/>
              <w:tr2bl w:val="nil"/>
            </w:tcBorders>
          </w:tcPr>
          <w:p w14:paraId="2D43FF9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5CDBFA2" wp14:editId="313D7D66">
                  <wp:extent cx="581660" cy="608330"/>
                  <wp:effectExtent l="0" t="0" r="8890" b="1270"/>
                  <wp:docPr id="1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B05BE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superficie: rimuovere la contaminazione superficiale prima di applicare PC-10 con il metodo raccomandato utilizzando lo sgrassante PC-6912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C395C6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F0079D7" wp14:editId="704EE107">
                  <wp:extent cx="523875" cy="529590"/>
                  <wp:effectExtent l="0" t="0" r="9525" b="3810"/>
                  <wp:docPr id="1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559E6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14–16 secondi — Coppa DIN 4 a 20°C</w:t>
            </w:r>
          </w:p>
        </w:tc>
      </w:tr>
    </w:tbl>
    <w:p w14:paraId="22609ACC" w14:textId="77777777" w:rsidR="009539C7" w:rsidRDefault="009539C7" w:rsidP="003A644C">
      <w:pPr>
        <w:rPr>
          <w:lang w:val="it-IT"/>
        </w:rPr>
      </w:pPr>
    </w:p>
    <w:p w14:paraId="6F1F4ECF" w14:textId="77777777" w:rsidR="009539C7" w:rsidRDefault="00D410EC" w:rsidP="003A644C">
      <w:proofErr w:type="spellStart"/>
      <w:r>
        <w:t>Applicazione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43"/>
        <w:gridCol w:w="7895"/>
      </w:tblGrid>
      <w:tr w:rsidR="009539C7" w:rsidRPr="008602A6" w14:paraId="3C41A063" w14:textId="77777777">
        <w:tc>
          <w:tcPr>
            <w:tcW w:w="1747" w:type="dxa"/>
            <w:tcBorders>
              <w:left w:val="nil"/>
              <w:right w:val="nil"/>
            </w:tcBorders>
          </w:tcPr>
          <w:p w14:paraId="1F1F5F13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D1BC507" wp14:editId="4D625E35">
                  <wp:extent cx="847725" cy="828675"/>
                  <wp:effectExtent l="0" t="0" r="9525" b="9525"/>
                  <wp:docPr id="1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7" w:type="dxa"/>
            <w:tcBorders>
              <w:left w:val="nil"/>
              <w:right w:val="nil"/>
            </w:tcBorders>
          </w:tcPr>
          <w:p w14:paraId="118F29C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una singola mano piena e uniforme su superficie pulita.</w:t>
            </w:r>
          </w:p>
        </w:tc>
      </w:tr>
      <w:tr w:rsidR="009539C7" w:rsidRPr="008602A6" w14:paraId="4FA26CDF" w14:textId="77777777">
        <w:tc>
          <w:tcPr>
            <w:tcW w:w="1747" w:type="dxa"/>
            <w:tcBorders>
              <w:left w:val="nil"/>
              <w:right w:val="nil"/>
            </w:tcBorders>
          </w:tcPr>
          <w:p w14:paraId="3CB2D68C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1C4E7BA" wp14:editId="09FAA78F">
                  <wp:extent cx="885825" cy="857250"/>
                  <wp:effectExtent l="0" t="0" r="9525" b="0"/>
                  <wp:docPr id="1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7" w:type="dxa"/>
            <w:tcBorders>
              <w:left w:val="nil"/>
              <w:right w:val="nil"/>
            </w:tcBorders>
          </w:tcPr>
          <w:p w14:paraId="33DD97D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I rivestimenti successivi possono essere applicati non prima di 10 minuti e non oltre 1 ora a 20°C.</w:t>
            </w:r>
          </w:p>
          <w:p w14:paraId="571805C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Se il tempo aperto viene superato, trattare la superficie con materiale opacizzante UFN (Grigio) e riapplicare PC-10.</w:t>
            </w:r>
          </w:p>
        </w:tc>
      </w:tr>
    </w:tbl>
    <w:p w14:paraId="25378F17" w14:textId="77777777" w:rsidR="009539C7" w:rsidRDefault="009539C7" w:rsidP="003A644C">
      <w:pPr>
        <w:rPr>
          <w:lang w:val="it-IT"/>
        </w:rPr>
      </w:pPr>
    </w:p>
    <w:p w14:paraId="5F79244B" w14:textId="77777777" w:rsidR="009539C7" w:rsidRDefault="009539C7" w:rsidP="003A644C">
      <w:pPr>
        <w:rPr>
          <w:lang w:val="it-IT"/>
        </w:rPr>
      </w:pPr>
    </w:p>
    <w:p w14:paraId="45724144" w14:textId="77777777" w:rsidR="009539C7" w:rsidRDefault="009539C7" w:rsidP="003A644C">
      <w:pPr>
        <w:rPr>
          <w:lang w:val="it-IT"/>
        </w:rPr>
      </w:pPr>
    </w:p>
    <w:p w14:paraId="4B3E9662" w14:textId="77777777" w:rsidR="009539C7" w:rsidRDefault="009539C7" w:rsidP="003A644C">
      <w:pPr>
        <w:rPr>
          <w:lang w:val="it-IT"/>
        </w:rPr>
      </w:pPr>
    </w:p>
    <w:p w14:paraId="3B1C0EC9" w14:textId="77777777" w:rsidR="009539C7" w:rsidRDefault="009539C7" w:rsidP="003A644C">
      <w:pPr>
        <w:rPr>
          <w:lang w:val="it-IT"/>
        </w:rPr>
      </w:pPr>
    </w:p>
    <w:p w14:paraId="3E6FFF0D" w14:textId="77777777" w:rsidR="009539C7" w:rsidRDefault="009539C7" w:rsidP="003A644C">
      <w:pPr>
        <w:rPr>
          <w:lang w:val="it-IT"/>
        </w:rPr>
      </w:pPr>
    </w:p>
    <w:p w14:paraId="69985AE1" w14:textId="77777777" w:rsidR="009539C7" w:rsidRDefault="009539C7" w:rsidP="003A644C">
      <w:pPr>
        <w:rPr>
          <w:lang w:val="it-IT"/>
        </w:rPr>
      </w:pPr>
    </w:p>
    <w:p w14:paraId="14E35CAE" w14:textId="77777777" w:rsidR="009539C7" w:rsidRDefault="009539C7" w:rsidP="003A644C">
      <w:pPr>
        <w:rPr>
          <w:lang w:val="it-IT"/>
        </w:rPr>
      </w:pPr>
    </w:p>
    <w:p w14:paraId="71674B1C" w14:textId="77777777" w:rsidR="009539C7" w:rsidRDefault="009539C7" w:rsidP="003A644C">
      <w:pPr>
        <w:rPr>
          <w:lang w:val="it-IT"/>
        </w:rPr>
      </w:pPr>
    </w:p>
    <w:p w14:paraId="22B97174" w14:textId="77777777" w:rsidR="009539C7" w:rsidRDefault="009539C7" w:rsidP="003A644C">
      <w:pPr>
        <w:rPr>
          <w:lang w:val="it-IT"/>
        </w:rPr>
      </w:pPr>
    </w:p>
    <w:p w14:paraId="3F42216B" w14:textId="77777777" w:rsidR="009539C7" w:rsidRDefault="009539C7" w:rsidP="003A644C">
      <w:pPr>
        <w:rPr>
          <w:lang w:val="it-IT"/>
        </w:rPr>
      </w:pPr>
    </w:p>
    <w:p w14:paraId="6708DB23" w14:textId="77777777" w:rsidR="009539C7" w:rsidRDefault="009539C7" w:rsidP="003A644C">
      <w:pPr>
        <w:rPr>
          <w:lang w:val="it-IT"/>
        </w:rPr>
      </w:pPr>
    </w:p>
    <w:p w14:paraId="59CBC2AD" w14:textId="77777777" w:rsidR="009539C7" w:rsidRDefault="009539C7" w:rsidP="003A644C">
      <w:pPr>
        <w:rPr>
          <w:lang w:val="it-IT"/>
        </w:rPr>
      </w:pPr>
    </w:p>
    <w:p w14:paraId="78F85570" w14:textId="77777777" w:rsidR="009539C7" w:rsidRDefault="009539C7" w:rsidP="003A644C">
      <w:pPr>
        <w:rPr>
          <w:lang w:val="it-IT"/>
        </w:rPr>
      </w:pPr>
    </w:p>
    <w:p w14:paraId="69F2ADC9" w14:textId="77777777" w:rsidR="009539C7" w:rsidRDefault="009539C7" w:rsidP="003A644C">
      <w:pPr>
        <w:rPr>
          <w:lang w:val="it-IT"/>
        </w:rPr>
      </w:pPr>
    </w:p>
    <w:p w14:paraId="1E01DADA" w14:textId="77777777" w:rsidR="009539C7" w:rsidRDefault="009539C7" w:rsidP="003A644C">
      <w:pPr>
        <w:rPr>
          <w:lang w:val="it-IT"/>
        </w:rPr>
      </w:pPr>
    </w:p>
    <w:p w14:paraId="4835A713" w14:textId="77777777" w:rsidR="009539C7" w:rsidRDefault="009539C7" w:rsidP="003A644C">
      <w:pPr>
        <w:rPr>
          <w:lang w:val="it-IT"/>
        </w:rPr>
      </w:pPr>
    </w:p>
    <w:p w14:paraId="4D57617D" w14:textId="77777777" w:rsidR="009539C7" w:rsidRDefault="00D410EC" w:rsidP="003A644C">
      <w:pPr>
        <w:rPr>
          <w:b/>
          <w:bCs/>
          <w:color w:val="0000FF"/>
          <w:sz w:val="22"/>
          <w:szCs w:val="28"/>
          <w:lang w:val="it-IT"/>
        </w:rPr>
      </w:pPr>
      <w:r>
        <w:rPr>
          <w:b/>
          <w:bCs/>
          <w:color w:val="0000FF"/>
          <w:sz w:val="22"/>
          <w:szCs w:val="28"/>
          <w:lang w:val="it-IT"/>
        </w:rPr>
        <w:lastRenderedPageBreak/>
        <w:t>Rivestimento successivo</w:t>
      </w:r>
    </w:p>
    <w:p w14:paraId="2C43CD3B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Tutti i fondi riempitivi </w:t>
      </w:r>
      <w:proofErr w:type="spellStart"/>
      <w:r>
        <w:rPr>
          <w:lang w:val="it-IT"/>
        </w:rPr>
        <w:t>Perfecoat</w:t>
      </w:r>
      <w:proofErr w:type="spellEnd"/>
    </w:p>
    <w:p w14:paraId="40251B96" w14:textId="77777777" w:rsidR="009539C7" w:rsidRDefault="00D410EC" w:rsidP="003A644C">
      <w:pPr>
        <w:rPr>
          <w:lang w:val="it-IT"/>
        </w:rPr>
      </w:pPr>
      <w:r>
        <w:rPr>
          <w:lang w:val="it-IT"/>
        </w:rPr>
        <w:t>PC-1K Colori Base Opaca</w:t>
      </w:r>
    </w:p>
    <w:p w14:paraId="6AA02A72" w14:textId="77777777" w:rsidR="009539C7" w:rsidRDefault="00D410EC" w:rsidP="003A644C">
      <w:pPr>
        <w:rPr>
          <w:lang w:val="it-IT"/>
        </w:rPr>
      </w:pPr>
      <w:r>
        <w:rPr>
          <w:lang w:val="it-IT"/>
        </w:rPr>
        <w:t>PC-2K Smalti di Finitura</w:t>
      </w:r>
    </w:p>
    <w:p w14:paraId="1D895944" w14:textId="77777777" w:rsidR="009539C7" w:rsidRDefault="009539C7" w:rsidP="003A644C">
      <w:pPr>
        <w:rPr>
          <w:lang w:val="it-IT"/>
        </w:rPr>
      </w:pPr>
    </w:p>
    <w:p w14:paraId="3932573A" w14:textId="77777777" w:rsidR="009539C7" w:rsidRDefault="00D410EC" w:rsidP="003A644C">
      <w:pPr>
        <w:rPr>
          <w:b/>
          <w:bCs/>
          <w:color w:val="0000FF"/>
          <w:sz w:val="22"/>
          <w:szCs w:val="28"/>
          <w:lang w:val="it-IT"/>
        </w:rPr>
      </w:pPr>
      <w:r>
        <w:rPr>
          <w:b/>
          <w:bCs/>
          <w:color w:val="0000FF"/>
          <w:sz w:val="22"/>
          <w:szCs w:val="28"/>
          <w:lang w:val="it-IT"/>
        </w:rPr>
        <w:t>Spessore del film</w:t>
      </w:r>
    </w:p>
    <w:p w14:paraId="5B491786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1 mano 4–5 </w:t>
      </w:r>
      <w:r>
        <w:t>μ</w:t>
      </w:r>
      <w:r>
        <w:rPr>
          <w:lang w:val="it-IT"/>
        </w:rPr>
        <w:t>m</w:t>
      </w:r>
    </w:p>
    <w:p w14:paraId="1E184626" w14:textId="77777777" w:rsidR="009539C7" w:rsidRDefault="009539C7" w:rsidP="003A644C">
      <w:pPr>
        <w:rPr>
          <w:lang w:val="it-IT"/>
        </w:rPr>
      </w:pPr>
    </w:p>
    <w:p w14:paraId="2447EACF" w14:textId="77777777" w:rsidR="009539C7" w:rsidRDefault="00D410EC" w:rsidP="003A644C">
      <w:pPr>
        <w:rPr>
          <w:b/>
          <w:bCs/>
          <w:color w:val="0000FF"/>
          <w:sz w:val="22"/>
          <w:szCs w:val="28"/>
          <w:lang w:val="it-IT"/>
        </w:rPr>
      </w:pPr>
      <w:r>
        <w:rPr>
          <w:b/>
          <w:bCs/>
          <w:color w:val="0000FF"/>
          <w:sz w:val="22"/>
          <w:szCs w:val="28"/>
          <w:lang w:val="it-IT"/>
        </w:rPr>
        <w:t>Consumo teorico</w:t>
      </w:r>
    </w:p>
    <w:p w14:paraId="7607DA37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A uno spessore di film di 1 </w:t>
      </w:r>
      <w:r>
        <w:t>μ</w:t>
      </w:r>
      <w:r>
        <w:rPr>
          <w:lang w:val="it-IT"/>
        </w:rPr>
        <w:t>m – 20 m²/litro</w:t>
      </w:r>
    </w:p>
    <w:p w14:paraId="264B7A13" w14:textId="77777777" w:rsidR="009539C7" w:rsidRDefault="009539C7" w:rsidP="003A644C">
      <w:pPr>
        <w:rPr>
          <w:lang w:val="it-IT"/>
        </w:rPr>
      </w:pPr>
    </w:p>
    <w:p w14:paraId="3896FBC0" w14:textId="77777777" w:rsidR="009539C7" w:rsidRDefault="00D410EC" w:rsidP="003A644C">
      <w:pPr>
        <w:rPr>
          <w:lang w:val="it-IT"/>
        </w:rPr>
      </w:pPr>
      <w:r>
        <w:rPr>
          <w:lang w:val="it-IT"/>
        </w:rPr>
        <w:t>Il consumo pratico dipende da numerosi fattori, tra cui la geometria del pezzo, la rugosità della superficie e il metodo e le condizioni di applicazione.</w:t>
      </w:r>
    </w:p>
    <w:p w14:paraId="1344CE38" w14:textId="77777777" w:rsidR="009539C7" w:rsidRDefault="009539C7" w:rsidP="003A644C">
      <w:pPr>
        <w:rPr>
          <w:lang w:val="it-IT"/>
        </w:rPr>
      </w:pPr>
    </w:p>
    <w:p w14:paraId="51A7E92C" w14:textId="77777777" w:rsidR="009539C7" w:rsidRDefault="00D410EC" w:rsidP="003A644C">
      <w:pPr>
        <w:rPr>
          <w:b/>
          <w:bCs/>
          <w:color w:val="0000FF"/>
          <w:sz w:val="22"/>
          <w:szCs w:val="28"/>
          <w:lang w:val="it-IT"/>
        </w:rPr>
      </w:pPr>
      <w:r>
        <w:rPr>
          <w:b/>
          <w:bCs/>
          <w:color w:val="0000FF"/>
          <w:sz w:val="22"/>
          <w:szCs w:val="28"/>
          <w:lang w:val="it-IT"/>
        </w:rPr>
        <w:t>Pulizia dell’attrezzatura</w:t>
      </w:r>
    </w:p>
    <w:p w14:paraId="31A92AFB" w14:textId="77777777" w:rsidR="009539C7" w:rsidRDefault="00D410EC" w:rsidP="003A644C">
      <w:pPr>
        <w:rPr>
          <w:lang w:val="it-IT"/>
        </w:rPr>
      </w:pPr>
      <w:r>
        <w:rPr>
          <w:lang w:val="it-IT"/>
        </w:rPr>
        <w:t>Solventi speciali per la pulizia dell’attrezzatura di spruzzo.</w:t>
      </w:r>
    </w:p>
    <w:p w14:paraId="41E2AB89" w14:textId="77777777" w:rsidR="009539C7" w:rsidRDefault="009539C7" w:rsidP="003A644C">
      <w:pPr>
        <w:rPr>
          <w:lang w:val="it-IT"/>
        </w:rPr>
      </w:pPr>
    </w:p>
    <w:p w14:paraId="2FDB8422" w14:textId="77777777" w:rsidR="009539C7" w:rsidRDefault="00D410EC" w:rsidP="003A644C">
      <w:pPr>
        <w:rPr>
          <w:b/>
          <w:bCs/>
          <w:color w:val="0000FF"/>
          <w:sz w:val="22"/>
          <w:szCs w:val="28"/>
          <w:lang w:val="it-IT"/>
        </w:rPr>
      </w:pPr>
      <w:r>
        <w:rPr>
          <w:b/>
          <w:bCs/>
          <w:color w:val="0000FF"/>
          <w:sz w:val="22"/>
          <w:szCs w:val="28"/>
          <w:lang w:val="it-IT"/>
        </w:rPr>
        <w:t>COV (Composti Organici Volatili)</w:t>
      </w:r>
    </w:p>
    <w:p w14:paraId="1368CC45" w14:textId="77777777" w:rsidR="009539C7" w:rsidRDefault="00D410EC" w:rsidP="003A644C">
      <w:pPr>
        <w:rPr>
          <w:lang w:val="it-IT"/>
        </w:rPr>
      </w:pPr>
      <w:r>
        <w:rPr>
          <w:lang w:val="it-IT"/>
        </w:rPr>
        <w:t>Il parametro COV di questo prodotto nella miscela pronta all'uso non supera gli 840 g/L</w:t>
      </w:r>
    </w:p>
    <w:p w14:paraId="36712438" w14:textId="77777777" w:rsidR="009539C7" w:rsidRDefault="009539C7" w:rsidP="003A644C">
      <w:pPr>
        <w:rPr>
          <w:lang w:val="it-IT"/>
        </w:rPr>
      </w:pPr>
    </w:p>
    <w:p w14:paraId="2D87582E" w14:textId="77777777" w:rsidR="009539C7" w:rsidRDefault="00D410EC" w:rsidP="003A644C">
      <w:pPr>
        <w:rPr>
          <w:b/>
          <w:bCs/>
          <w:color w:val="0000FF"/>
          <w:sz w:val="22"/>
          <w:szCs w:val="28"/>
          <w:lang w:val="it-IT"/>
        </w:rPr>
      </w:pPr>
      <w:r>
        <w:rPr>
          <w:b/>
          <w:bCs/>
          <w:color w:val="0000FF"/>
          <w:sz w:val="22"/>
          <w:szCs w:val="28"/>
          <w:lang w:val="it-IT"/>
        </w:rPr>
        <w:t>Stoccaggio</w:t>
      </w:r>
    </w:p>
    <w:p w14:paraId="3C4E9C67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del prodotto è definita per imballo non aperto a 20°C ed è di 2 anni.</w:t>
      </w:r>
    </w:p>
    <w:p w14:paraId="2ED2DE08" w14:textId="77777777" w:rsidR="009539C7" w:rsidRDefault="00D410EC" w:rsidP="003A644C">
      <w:pPr>
        <w:rPr>
          <w:lang w:val="it-IT"/>
        </w:rPr>
      </w:pPr>
      <w:r>
        <w:rPr>
          <w:lang w:val="it-IT"/>
        </w:rPr>
        <w:t>Evitare ampie fluttuazioni di temperatura. La data di produzione è indicata sulla confezione.</w:t>
      </w:r>
    </w:p>
    <w:p w14:paraId="6A9C9EBD" w14:textId="77777777" w:rsidR="009539C7" w:rsidRDefault="009539C7" w:rsidP="003A644C">
      <w:pPr>
        <w:rPr>
          <w:lang w:val="it-IT"/>
        </w:rPr>
      </w:pPr>
    </w:p>
    <w:p w14:paraId="15829D97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42"/>
        <w:gridCol w:w="7996"/>
      </w:tblGrid>
      <w:tr w:rsidR="009539C7" w14:paraId="6BCC761B" w14:textId="77777777">
        <w:tc>
          <w:tcPr>
            <w:tcW w:w="1642" w:type="dxa"/>
            <w:tcBorders>
              <w:left w:val="nil"/>
              <w:right w:val="nil"/>
            </w:tcBorders>
          </w:tcPr>
          <w:p w14:paraId="4EE4770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FFADC62" wp14:editId="05E587BA">
                  <wp:extent cx="885825" cy="857250"/>
                  <wp:effectExtent l="0" t="0" r="9525" b="0"/>
                  <wp:docPr id="1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2" w:type="dxa"/>
            <w:tcBorders>
              <w:left w:val="nil"/>
              <w:right w:val="nil"/>
            </w:tcBorders>
          </w:tcPr>
          <w:p w14:paraId="2DB74B32" w14:textId="77777777" w:rsidR="009539C7" w:rsidRDefault="00D410EC" w:rsidP="003A644C">
            <w:proofErr w:type="spellStart"/>
            <w:r>
              <w:t>Usare</w:t>
            </w:r>
            <w:proofErr w:type="spellEnd"/>
            <w:r>
              <w:t xml:space="preserve"> un </w:t>
            </w:r>
            <w:proofErr w:type="spellStart"/>
            <w:r>
              <w:t>respiratore</w:t>
            </w:r>
            <w:proofErr w:type="spellEnd"/>
            <w:r>
              <w:t xml:space="preserve"> </w:t>
            </w:r>
            <w:proofErr w:type="spellStart"/>
            <w:r>
              <w:t>appropriato</w:t>
            </w:r>
            <w:proofErr w:type="spellEnd"/>
          </w:p>
        </w:tc>
      </w:tr>
    </w:tbl>
    <w:p w14:paraId="1DDBEBD0" w14:textId="77777777" w:rsidR="009539C7" w:rsidRDefault="009539C7" w:rsidP="003A644C"/>
    <w:p w14:paraId="18F243BC" w14:textId="77777777" w:rsidR="009539C7" w:rsidRDefault="009539C7" w:rsidP="003A644C"/>
    <w:p w14:paraId="211D4D7A" w14:textId="77777777" w:rsidR="009539C7" w:rsidRDefault="009539C7" w:rsidP="003A644C"/>
    <w:p w14:paraId="7C32146A" w14:textId="77777777" w:rsidR="009539C7" w:rsidRDefault="009539C7" w:rsidP="003A644C"/>
    <w:p w14:paraId="28461135" w14:textId="77777777" w:rsidR="009539C7" w:rsidRDefault="009539C7" w:rsidP="003A644C"/>
    <w:p w14:paraId="230EEAE8" w14:textId="77777777" w:rsidR="009539C7" w:rsidRDefault="009539C7" w:rsidP="003A644C"/>
    <w:p w14:paraId="0E569928" w14:textId="77777777" w:rsidR="009539C7" w:rsidRDefault="009539C7" w:rsidP="003A644C"/>
    <w:p w14:paraId="2B3E42F6" w14:textId="77777777" w:rsidR="009539C7" w:rsidRDefault="009539C7" w:rsidP="003A644C"/>
    <w:p w14:paraId="0E9BB063" w14:textId="77777777" w:rsidR="009539C7" w:rsidRDefault="009539C7" w:rsidP="003A644C"/>
    <w:p w14:paraId="05CA715A" w14:textId="77777777" w:rsidR="009539C7" w:rsidRDefault="009539C7" w:rsidP="003A644C"/>
    <w:p w14:paraId="426B43B1" w14:textId="77777777" w:rsidR="009539C7" w:rsidRDefault="009539C7" w:rsidP="003A644C"/>
    <w:p w14:paraId="2810A768" w14:textId="77777777" w:rsidR="009539C7" w:rsidRDefault="009539C7" w:rsidP="003A644C"/>
    <w:p w14:paraId="21F30CE9" w14:textId="77777777" w:rsidR="009539C7" w:rsidRDefault="009539C7" w:rsidP="003A644C"/>
    <w:p w14:paraId="04430F1B" w14:textId="77777777" w:rsidR="009539C7" w:rsidRDefault="009539C7" w:rsidP="003A644C"/>
    <w:p w14:paraId="1BA724BA" w14:textId="77777777" w:rsidR="009539C7" w:rsidRDefault="009539C7" w:rsidP="003A644C"/>
    <w:p w14:paraId="7638A399" w14:textId="77777777" w:rsidR="009539C7" w:rsidRDefault="009539C7" w:rsidP="003A644C"/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206" Type="http://schemas.openxmlformats.org/officeDocument/2006/relationships/image" Target="media/image198.png"/><Relationship Id="rId7" Type="http://schemas.openxmlformats.org/officeDocument/2006/relationships/footnotes" Target="footnotes.xml"/><Relationship Id="rId208" Type="http://schemas.openxmlformats.org/officeDocument/2006/relationships/image" Target="media/image200.png"/><Relationship Id="rId210" Type="http://schemas.openxmlformats.org/officeDocument/2006/relationships/image" Target="media/image202.png"/><Relationship Id="rId211" Type="http://schemas.openxmlformats.org/officeDocument/2006/relationships/image" Target="media/image203.png"/><Relationship Id="rId1" Type="http://schemas.openxmlformats.org/officeDocument/2006/relationships/customXml" Target="../customXml/item1.xml"/><Relationship Id="rId212" Type="http://schemas.openxmlformats.org/officeDocument/2006/relationships/image" Target="media/image204.png"/><Relationship Id="rId202" Type="http://schemas.openxmlformats.org/officeDocument/2006/relationships/image" Target="media/image194.png"/><Relationship Id="rId213" Type="http://schemas.openxmlformats.org/officeDocument/2006/relationships/image" Target="media/image205.png"/><Relationship Id="rId2" Type="http://schemas.openxmlformats.org/officeDocument/2006/relationships/customXml" Target="../customXml/item2.xml"/><Relationship Id="rId203" Type="http://schemas.openxmlformats.org/officeDocument/2006/relationships/image" Target="media/image195.png"/><Relationship Id="rId3" Type="http://schemas.openxmlformats.org/officeDocument/2006/relationships/numbering" Target="numbering.xml"/><Relationship Id="rId214" Type="http://schemas.openxmlformats.org/officeDocument/2006/relationships/image" Target="media/image206.png"/><Relationship Id="rId204" Type="http://schemas.openxmlformats.org/officeDocument/2006/relationships/image" Target="media/image196.png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205" Type="http://schemas.openxmlformats.org/officeDocument/2006/relationships/image" Target="media/image197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207" Type="http://schemas.openxmlformats.org/officeDocument/2006/relationships/image" Target="media/image199.png"/><Relationship Id="rId8" Type="http://schemas.openxmlformats.org/officeDocument/2006/relationships/endnotes" Target="endnotes.xml"/><Relationship Id="rId209" Type="http://schemas.openxmlformats.org/officeDocument/2006/relationships/image" Target="media/image20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